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B7AC2" w14:textId="23F8E348" w:rsidR="00703566" w:rsidRPr="00703566" w:rsidRDefault="00703566" w:rsidP="00703566">
      <w:pPr>
        <w:spacing w:after="200" w:line="480" w:lineRule="auto"/>
        <w:jc w:val="center"/>
        <w:rPr>
          <w:rFonts w:ascii="Times New Roman" w:eastAsia="Calibri" w:hAnsi="Times New Roman" w:cs="Times New Roman"/>
          <w:b/>
          <w:bCs/>
          <w:sz w:val="32"/>
          <w:szCs w:val="32"/>
          <w:lang w:val="en-US"/>
        </w:rPr>
      </w:pPr>
      <w:r w:rsidRPr="00703566">
        <w:rPr>
          <w:rFonts w:ascii="Times New Roman" w:eastAsia="Calibri" w:hAnsi="Times New Roman" w:cs="Times New Roman"/>
          <w:b/>
          <w:bCs/>
          <w:sz w:val="32"/>
          <w:szCs w:val="32"/>
          <w:lang w:val="en-US"/>
        </w:rPr>
        <w:t>DETERMINANTS OF COVID OUTBREAK AND NUTRITIONAL PROFILE OF GERIATRIC COVID -19 PATIENTS IN COASTAL AREAS OF ALAPPUZHA</w:t>
      </w:r>
    </w:p>
    <w:p w14:paraId="03A12166" w14:textId="77777777" w:rsidR="00703566" w:rsidRPr="00703566" w:rsidRDefault="00703566" w:rsidP="00703566">
      <w:pPr>
        <w:spacing w:after="200" w:line="480" w:lineRule="auto"/>
        <w:jc w:val="center"/>
        <w:rPr>
          <w:rFonts w:ascii="Times New Roman" w:eastAsia="Calibri" w:hAnsi="Times New Roman" w:cs="Times New Roman"/>
          <w:b/>
          <w:sz w:val="32"/>
          <w:szCs w:val="32"/>
          <w:lang w:val="en-US"/>
        </w:rPr>
      </w:pPr>
    </w:p>
    <w:p w14:paraId="07B39DAE" w14:textId="77777777" w:rsidR="00703566" w:rsidRPr="00703566" w:rsidRDefault="00703566" w:rsidP="00703566">
      <w:pPr>
        <w:spacing w:after="200" w:line="360" w:lineRule="auto"/>
        <w:rPr>
          <w:rFonts w:ascii="Times New Roman" w:eastAsia="Calibri" w:hAnsi="Times New Roman" w:cs="Times New Roman"/>
          <w:b/>
          <w:sz w:val="28"/>
          <w:szCs w:val="24"/>
          <w:lang w:val="en-US"/>
        </w:rPr>
      </w:pPr>
    </w:p>
    <w:p w14:paraId="10B4CCEB" w14:textId="77777777" w:rsidR="00703566" w:rsidRPr="00703566" w:rsidRDefault="00703566" w:rsidP="00703566">
      <w:pPr>
        <w:spacing w:after="200" w:line="360" w:lineRule="auto"/>
        <w:jc w:val="center"/>
        <w:rPr>
          <w:rFonts w:ascii="Times New Roman" w:eastAsia="Calibri" w:hAnsi="Times New Roman" w:cs="Times New Roman"/>
          <w:b/>
          <w:bCs/>
          <w:sz w:val="28"/>
          <w:szCs w:val="28"/>
          <w:lang w:val="en-US"/>
        </w:rPr>
      </w:pPr>
      <w:r w:rsidRPr="00703566">
        <w:rPr>
          <w:rFonts w:ascii="Times New Roman" w:eastAsia="Calibri" w:hAnsi="Times New Roman" w:cs="Times New Roman"/>
          <w:b/>
          <w:bCs/>
          <w:sz w:val="28"/>
          <w:szCs w:val="28"/>
          <w:lang w:val="en-US"/>
        </w:rPr>
        <w:t>Candidate Code: 65819139008</w:t>
      </w:r>
    </w:p>
    <w:p w14:paraId="03260966" w14:textId="77777777" w:rsidR="00703566" w:rsidRPr="00703566" w:rsidRDefault="00703566" w:rsidP="00703566">
      <w:pPr>
        <w:spacing w:after="200" w:line="360" w:lineRule="auto"/>
        <w:jc w:val="center"/>
        <w:rPr>
          <w:rFonts w:ascii="Times New Roman" w:eastAsia="Calibri" w:hAnsi="Times New Roman" w:cs="Times New Roman"/>
          <w:b/>
          <w:bCs/>
          <w:sz w:val="36"/>
          <w:szCs w:val="28"/>
          <w:lang w:val="en-US"/>
        </w:rPr>
      </w:pPr>
      <w:r w:rsidRPr="00703566">
        <w:rPr>
          <w:rFonts w:ascii="Times New Roman" w:eastAsia="Calibri" w:hAnsi="Times New Roman" w:cs="Times New Roman"/>
          <w:b/>
          <w:bCs/>
          <w:sz w:val="28"/>
          <w:szCs w:val="28"/>
          <w:lang w:val="en-US"/>
        </w:rPr>
        <w:t xml:space="preserve">Exam Code: </w:t>
      </w:r>
      <w:r w:rsidRPr="00703566">
        <w:rPr>
          <w:rFonts w:ascii="Times New Roman" w:eastAsia="Calibri" w:hAnsi="Times New Roman" w:cs="Times New Roman"/>
          <w:b/>
          <w:bCs/>
          <w:sz w:val="28"/>
          <w:lang w:val="en-US"/>
        </w:rPr>
        <w:t>65818402</w:t>
      </w:r>
    </w:p>
    <w:p w14:paraId="6543401B" w14:textId="77777777" w:rsidR="00703566" w:rsidRPr="00703566" w:rsidRDefault="00703566" w:rsidP="00703566">
      <w:pPr>
        <w:spacing w:after="200" w:line="360" w:lineRule="auto"/>
        <w:jc w:val="center"/>
        <w:rPr>
          <w:rFonts w:ascii="Times New Roman" w:eastAsia="Calibri" w:hAnsi="Times New Roman" w:cs="Times New Roman"/>
          <w:sz w:val="28"/>
          <w:szCs w:val="28"/>
          <w:lang w:val="en-US"/>
        </w:rPr>
      </w:pPr>
      <w:r w:rsidRPr="00703566">
        <w:rPr>
          <w:rFonts w:ascii="Times New Roman" w:eastAsia="Calibri" w:hAnsi="Times New Roman" w:cs="Times New Roman"/>
          <w:b/>
          <w:bCs/>
          <w:sz w:val="28"/>
          <w:szCs w:val="28"/>
          <w:lang w:val="en-US"/>
        </w:rPr>
        <w:t>Subject Code</w:t>
      </w:r>
      <w:r w:rsidRPr="00703566">
        <w:rPr>
          <w:rFonts w:ascii="Times New Roman" w:eastAsia="Calibri" w:hAnsi="Times New Roman" w:cs="Times New Roman"/>
          <w:b/>
          <w:sz w:val="28"/>
          <w:szCs w:val="28"/>
          <w:lang w:val="en-US"/>
        </w:rPr>
        <w:t>: HS245E</w:t>
      </w:r>
    </w:p>
    <w:p w14:paraId="5FFF3289" w14:textId="77777777" w:rsidR="00703566" w:rsidRPr="00703566" w:rsidRDefault="00703566" w:rsidP="00703566">
      <w:pPr>
        <w:spacing w:after="200" w:line="360" w:lineRule="auto"/>
        <w:jc w:val="center"/>
        <w:rPr>
          <w:rFonts w:ascii="Times New Roman" w:eastAsia="Calibri" w:hAnsi="Times New Roman" w:cs="Times New Roman"/>
          <w:b/>
          <w:i/>
          <w:sz w:val="28"/>
          <w:szCs w:val="28"/>
          <w:lang w:val="en-US"/>
        </w:rPr>
      </w:pPr>
    </w:p>
    <w:p w14:paraId="5C42A3BC" w14:textId="77777777" w:rsidR="00703566" w:rsidRPr="00703566" w:rsidRDefault="00703566" w:rsidP="00703566">
      <w:pPr>
        <w:spacing w:after="200" w:line="360" w:lineRule="auto"/>
        <w:jc w:val="center"/>
        <w:rPr>
          <w:rFonts w:ascii="Times New Roman" w:eastAsia="Calibri" w:hAnsi="Times New Roman" w:cs="Times New Roman"/>
          <w:b/>
          <w:i/>
          <w:sz w:val="28"/>
          <w:szCs w:val="28"/>
          <w:lang w:val="en-US"/>
        </w:rPr>
      </w:pPr>
      <w:r w:rsidRPr="00703566">
        <w:rPr>
          <w:rFonts w:ascii="Times New Roman" w:eastAsia="Calibri" w:hAnsi="Times New Roman" w:cs="Times New Roman"/>
          <w:b/>
          <w:i/>
          <w:sz w:val="28"/>
          <w:szCs w:val="28"/>
          <w:lang w:val="en-US"/>
        </w:rPr>
        <w:t>Dissertation submitted to the University of Kerala in partial fulfilment for the award of the Master’s Degree in Home Science (Nutrition &amp; Dietetics)</w:t>
      </w:r>
    </w:p>
    <w:p w14:paraId="039047B4" w14:textId="77777777" w:rsidR="00703566" w:rsidRPr="00703566" w:rsidRDefault="00703566" w:rsidP="00703566">
      <w:pPr>
        <w:spacing w:after="200" w:line="360" w:lineRule="auto"/>
        <w:jc w:val="center"/>
        <w:rPr>
          <w:rFonts w:ascii="Times New Roman" w:eastAsia="Calibri" w:hAnsi="Times New Roman" w:cs="Times New Roman"/>
          <w:b/>
          <w:i/>
          <w:sz w:val="28"/>
          <w:szCs w:val="28"/>
          <w:lang w:val="en-US"/>
        </w:rPr>
      </w:pPr>
    </w:p>
    <w:p w14:paraId="511B8727" w14:textId="38A0C6C3" w:rsidR="00703566" w:rsidRPr="00703566" w:rsidRDefault="00703566" w:rsidP="00703566">
      <w:pPr>
        <w:spacing w:after="200" w:line="360" w:lineRule="auto"/>
        <w:jc w:val="center"/>
        <w:rPr>
          <w:rFonts w:ascii="Times New Roman" w:eastAsia="Calibri" w:hAnsi="Times New Roman" w:cs="Times New Roman"/>
          <w:b/>
          <w:sz w:val="28"/>
          <w:szCs w:val="28"/>
          <w:lang w:val="en-US"/>
        </w:rPr>
      </w:pPr>
    </w:p>
    <w:p w14:paraId="281CB6F1" w14:textId="77777777" w:rsidR="00703566" w:rsidRPr="00703566" w:rsidRDefault="00703566" w:rsidP="00703566">
      <w:pPr>
        <w:spacing w:after="200" w:line="360" w:lineRule="auto"/>
        <w:jc w:val="center"/>
        <w:rPr>
          <w:rFonts w:ascii="Times New Roman" w:eastAsia="Calibri" w:hAnsi="Times New Roman" w:cs="Times New Roman"/>
          <w:b/>
          <w:i/>
          <w:sz w:val="28"/>
          <w:szCs w:val="28"/>
          <w:lang w:val="en-US"/>
        </w:rPr>
      </w:pPr>
    </w:p>
    <w:p w14:paraId="70A2F1DF" w14:textId="77777777" w:rsidR="00703566" w:rsidRPr="00703566" w:rsidRDefault="00703566" w:rsidP="00703566">
      <w:pPr>
        <w:spacing w:after="200" w:line="360" w:lineRule="auto"/>
        <w:rPr>
          <w:rFonts w:ascii="Times New Roman" w:eastAsia="Calibri" w:hAnsi="Times New Roman" w:cs="Times New Roman"/>
          <w:b/>
          <w:i/>
          <w:sz w:val="28"/>
          <w:szCs w:val="28"/>
          <w:lang w:val="en-US"/>
        </w:rPr>
      </w:pPr>
    </w:p>
    <w:p w14:paraId="28324672" w14:textId="4F90859D" w:rsidR="00703566" w:rsidRPr="00703566" w:rsidRDefault="00703566" w:rsidP="00703566">
      <w:pPr>
        <w:spacing w:after="200" w:line="360" w:lineRule="auto"/>
        <w:jc w:val="cente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MAY</w:t>
      </w:r>
      <w:r w:rsidRPr="00703566">
        <w:rPr>
          <w:rFonts w:ascii="Times New Roman" w:eastAsia="Calibri" w:hAnsi="Times New Roman" w:cs="Times New Roman"/>
          <w:b/>
          <w:sz w:val="20"/>
          <w:szCs w:val="20"/>
          <w:lang w:val="en-US"/>
        </w:rPr>
        <w:t>, 2021</w:t>
      </w:r>
    </w:p>
    <w:p w14:paraId="2BC53C70" w14:textId="77777777" w:rsidR="00703566" w:rsidRPr="00703566" w:rsidRDefault="00703566" w:rsidP="00703566">
      <w:pPr>
        <w:spacing w:after="200" w:line="276" w:lineRule="auto"/>
        <w:jc w:val="center"/>
        <w:rPr>
          <w:rFonts w:ascii="Times New Roman" w:eastAsia="Calibri" w:hAnsi="Times New Roman" w:cs="Times New Roman"/>
          <w:b/>
          <w:sz w:val="28"/>
          <w:szCs w:val="28"/>
          <w:lang w:val="en-US"/>
        </w:rPr>
      </w:pPr>
    </w:p>
    <w:p w14:paraId="6B44C002"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p>
    <w:p w14:paraId="46D26791" w14:textId="77777777" w:rsidR="00703566" w:rsidRDefault="00703566" w:rsidP="00703566">
      <w:pPr>
        <w:spacing w:after="200" w:line="360" w:lineRule="auto"/>
        <w:jc w:val="center"/>
        <w:rPr>
          <w:rFonts w:ascii="Times New Roman" w:eastAsia="Calibri" w:hAnsi="Times New Roman" w:cs="Times New Roman"/>
          <w:b/>
          <w:sz w:val="28"/>
          <w:szCs w:val="28"/>
          <w:lang w:val="en-US"/>
        </w:rPr>
      </w:pPr>
    </w:p>
    <w:p w14:paraId="6502A44F" w14:textId="77777777" w:rsidR="00703566" w:rsidRDefault="00703566" w:rsidP="00703566">
      <w:pPr>
        <w:spacing w:after="200" w:line="360" w:lineRule="auto"/>
        <w:jc w:val="center"/>
        <w:rPr>
          <w:rFonts w:ascii="Times New Roman" w:eastAsia="Calibri" w:hAnsi="Times New Roman" w:cs="Times New Roman"/>
          <w:b/>
          <w:sz w:val="28"/>
          <w:szCs w:val="28"/>
          <w:lang w:val="en-US"/>
        </w:rPr>
      </w:pPr>
    </w:p>
    <w:p w14:paraId="3FEF3F4C" w14:textId="77777777" w:rsidR="00703566" w:rsidRDefault="00703566" w:rsidP="00703566">
      <w:pPr>
        <w:spacing w:after="200" w:line="360" w:lineRule="auto"/>
        <w:jc w:val="center"/>
        <w:rPr>
          <w:rFonts w:ascii="Times New Roman" w:eastAsia="Calibri" w:hAnsi="Times New Roman" w:cs="Times New Roman"/>
          <w:b/>
          <w:sz w:val="28"/>
          <w:szCs w:val="28"/>
          <w:lang w:val="en-US"/>
        </w:rPr>
      </w:pPr>
    </w:p>
    <w:p w14:paraId="4786FFF7" w14:textId="316662F6" w:rsidR="00703566" w:rsidRPr="00703566" w:rsidRDefault="00703566" w:rsidP="00703566">
      <w:pPr>
        <w:spacing w:after="200" w:line="360" w:lineRule="auto"/>
        <w:jc w:val="center"/>
        <w:rPr>
          <w:rFonts w:ascii="Times New Roman" w:eastAsia="Calibri" w:hAnsi="Times New Roman" w:cs="Times New Roman"/>
          <w:b/>
          <w:sz w:val="28"/>
          <w:szCs w:val="28"/>
          <w:lang w:val="en-US"/>
        </w:rPr>
      </w:pPr>
      <w:r w:rsidRPr="00703566">
        <w:rPr>
          <w:rFonts w:ascii="Times New Roman" w:eastAsia="Calibri" w:hAnsi="Times New Roman" w:cs="Times New Roman"/>
          <w:b/>
          <w:sz w:val="28"/>
          <w:szCs w:val="28"/>
          <w:lang w:val="en-US"/>
        </w:rPr>
        <w:t>CONTENTS</w:t>
      </w:r>
    </w:p>
    <w:p w14:paraId="21168EA9" w14:textId="77777777" w:rsidR="00703566" w:rsidRPr="00703566" w:rsidRDefault="00703566" w:rsidP="00703566">
      <w:pPr>
        <w:spacing w:after="200" w:line="276" w:lineRule="auto"/>
        <w:rPr>
          <w:rFonts w:ascii="Times New Roman" w:eastAsia="Calibri" w:hAnsi="Times New Roman" w:cs="Times New Roman"/>
          <w:sz w:val="28"/>
          <w:szCs w:val="28"/>
          <w:lang w:val="en-US"/>
        </w:rPr>
      </w:pPr>
    </w:p>
    <w:tbl>
      <w:tblPr>
        <w:tblStyle w:val="TableGrid"/>
        <w:tblW w:w="0" w:type="auto"/>
        <w:jc w:val="center"/>
        <w:tblLook w:val="04A0" w:firstRow="1" w:lastRow="0" w:firstColumn="1" w:lastColumn="0" w:noHBand="0" w:noVBand="1"/>
      </w:tblPr>
      <w:tblGrid>
        <w:gridCol w:w="2126"/>
        <w:gridCol w:w="4253"/>
        <w:gridCol w:w="2268"/>
      </w:tblGrid>
      <w:tr w:rsidR="00703566" w:rsidRPr="00703566" w14:paraId="470DD525" w14:textId="77777777" w:rsidTr="008A6F48">
        <w:trPr>
          <w:trHeight w:val="717"/>
          <w:jc w:val="center"/>
        </w:trPr>
        <w:tc>
          <w:tcPr>
            <w:tcW w:w="2126" w:type="dxa"/>
          </w:tcPr>
          <w:p w14:paraId="796B9A65" w14:textId="77777777" w:rsidR="00703566" w:rsidRPr="00703566" w:rsidRDefault="00703566" w:rsidP="00703566">
            <w:pPr>
              <w:jc w:val="center"/>
              <w:rPr>
                <w:rFonts w:ascii="Times New Roman" w:hAnsi="Times New Roman" w:cs="Times New Roman"/>
                <w:b/>
                <w:sz w:val="28"/>
                <w:szCs w:val="28"/>
              </w:rPr>
            </w:pPr>
          </w:p>
          <w:p w14:paraId="300F0CF4"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Chapter</w:t>
            </w:r>
          </w:p>
          <w:p w14:paraId="4C70B4A5" w14:textId="77777777" w:rsidR="00703566" w:rsidRPr="00703566" w:rsidRDefault="00703566" w:rsidP="00703566">
            <w:pPr>
              <w:jc w:val="center"/>
              <w:rPr>
                <w:rFonts w:ascii="Times New Roman" w:hAnsi="Times New Roman" w:cs="Times New Roman"/>
                <w:b/>
                <w:sz w:val="28"/>
                <w:szCs w:val="28"/>
              </w:rPr>
            </w:pPr>
          </w:p>
        </w:tc>
        <w:tc>
          <w:tcPr>
            <w:tcW w:w="4253" w:type="dxa"/>
          </w:tcPr>
          <w:p w14:paraId="1ACF0D23" w14:textId="77777777" w:rsidR="00703566" w:rsidRPr="00703566" w:rsidRDefault="00703566" w:rsidP="00703566">
            <w:pPr>
              <w:jc w:val="center"/>
              <w:rPr>
                <w:rFonts w:ascii="Times New Roman" w:hAnsi="Times New Roman" w:cs="Times New Roman"/>
                <w:b/>
                <w:sz w:val="28"/>
                <w:szCs w:val="28"/>
              </w:rPr>
            </w:pPr>
          </w:p>
          <w:p w14:paraId="1437C079"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Title</w:t>
            </w:r>
          </w:p>
        </w:tc>
        <w:tc>
          <w:tcPr>
            <w:tcW w:w="2268" w:type="dxa"/>
          </w:tcPr>
          <w:p w14:paraId="39DFA3BF" w14:textId="77777777" w:rsidR="00703566" w:rsidRPr="00703566" w:rsidRDefault="00703566" w:rsidP="00703566">
            <w:pPr>
              <w:jc w:val="center"/>
              <w:rPr>
                <w:rFonts w:ascii="Times New Roman" w:hAnsi="Times New Roman" w:cs="Times New Roman"/>
                <w:b/>
                <w:sz w:val="28"/>
                <w:szCs w:val="28"/>
              </w:rPr>
            </w:pPr>
          </w:p>
          <w:p w14:paraId="53999C4B"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Page No.</w:t>
            </w:r>
          </w:p>
        </w:tc>
      </w:tr>
      <w:tr w:rsidR="00703566" w:rsidRPr="00703566" w14:paraId="123C7B07" w14:textId="77777777" w:rsidTr="008A6F48">
        <w:trPr>
          <w:trHeight w:val="730"/>
          <w:jc w:val="center"/>
        </w:trPr>
        <w:tc>
          <w:tcPr>
            <w:tcW w:w="2126" w:type="dxa"/>
          </w:tcPr>
          <w:p w14:paraId="78B6B57E" w14:textId="77777777" w:rsidR="00703566" w:rsidRPr="00703566" w:rsidRDefault="00703566" w:rsidP="00703566">
            <w:pPr>
              <w:jc w:val="center"/>
              <w:rPr>
                <w:rFonts w:ascii="Times New Roman" w:hAnsi="Times New Roman" w:cs="Times New Roman"/>
                <w:b/>
                <w:sz w:val="28"/>
                <w:szCs w:val="28"/>
              </w:rPr>
            </w:pPr>
          </w:p>
        </w:tc>
        <w:tc>
          <w:tcPr>
            <w:tcW w:w="4253" w:type="dxa"/>
          </w:tcPr>
          <w:p w14:paraId="145DA6CD" w14:textId="77777777" w:rsidR="00703566" w:rsidRPr="00703566" w:rsidRDefault="00703566" w:rsidP="00703566">
            <w:pPr>
              <w:jc w:val="center"/>
              <w:rPr>
                <w:rFonts w:ascii="Times New Roman" w:hAnsi="Times New Roman" w:cs="Times New Roman"/>
                <w:sz w:val="28"/>
                <w:szCs w:val="28"/>
              </w:rPr>
            </w:pPr>
          </w:p>
          <w:p w14:paraId="67D4BC0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Abstract</w:t>
            </w:r>
          </w:p>
          <w:p w14:paraId="673EED53" w14:textId="77777777" w:rsidR="00703566" w:rsidRPr="00703566" w:rsidRDefault="00703566" w:rsidP="00703566">
            <w:pPr>
              <w:jc w:val="center"/>
              <w:rPr>
                <w:rFonts w:ascii="Times New Roman" w:hAnsi="Times New Roman" w:cs="Times New Roman"/>
                <w:sz w:val="28"/>
                <w:szCs w:val="28"/>
              </w:rPr>
            </w:pPr>
          </w:p>
        </w:tc>
        <w:tc>
          <w:tcPr>
            <w:tcW w:w="2268" w:type="dxa"/>
          </w:tcPr>
          <w:p w14:paraId="7423889A" w14:textId="77777777" w:rsidR="00703566" w:rsidRPr="00703566" w:rsidRDefault="00703566" w:rsidP="00703566">
            <w:pPr>
              <w:jc w:val="center"/>
              <w:rPr>
                <w:rFonts w:ascii="Times New Roman" w:hAnsi="Times New Roman" w:cs="Times New Roman"/>
                <w:b/>
                <w:sz w:val="28"/>
                <w:szCs w:val="28"/>
              </w:rPr>
            </w:pPr>
          </w:p>
        </w:tc>
      </w:tr>
      <w:tr w:rsidR="00703566" w:rsidRPr="00703566" w14:paraId="464AF4D4" w14:textId="77777777" w:rsidTr="008A6F48">
        <w:trPr>
          <w:trHeight w:val="710"/>
          <w:jc w:val="center"/>
        </w:trPr>
        <w:tc>
          <w:tcPr>
            <w:tcW w:w="2126" w:type="dxa"/>
          </w:tcPr>
          <w:p w14:paraId="3548716B" w14:textId="77777777" w:rsidR="00703566" w:rsidRPr="00703566" w:rsidRDefault="00703566" w:rsidP="00703566">
            <w:pPr>
              <w:jc w:val="center"/>
              <w:rPr>
                <w:rFonts w:ascii="Times New Roman" w:hAnsi="Times New Roman" w:cs="Times New Roman"/>
                <w:b/>
                <w:sz w:val="28"/>
                <w:szCs w:val="28"/>
              </w:rPr>
            </w:pPr>
          </w:p>
          <w:p w14:paraId="3733E05A"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I</w:t>
            </w:r>
          </w:p>
        </w:tc>
        <w:tc>
          <w:tcPr>
            <w:tcW w:w="4253" w:type="dxa"/>
          </w:tcPr>
          <w:p w14:paraId="5C32A54D" w14:textId="77777777" w:rsidR="00703566" w:rsidRPr="00703566" w:rsidRDefault="00703566" w:rsidP="00703566">
            <w:pPr>
              <w:jc w:val="center"/>
              <w:rPr>
                <w:rFonts w:ascii="Times New Roman" w:hAnsi="Times New Roman" w:cs="Times New Roman"/>
                <w:sz w:val="28"/>
                <w:szCs w:val="28"/>
              </w:rPr>
            </w:pPr>
          </w:p>
          <w:p w14:paraId="1DFC5530"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Introduction</w:t>
            </w:r>
          </w:p>
          <w:p w14:paraId="745CE096" w14:textId="77777777" w:rsidR="00703566" w:rsidRPr="00703566" w:rsidRDefault="00703566" w:rsidP="00703566">
            <w:pPr>
              <w:rPr>
                <w:rFonts w:ascii="Times New Roman" w:hAnsi="Times New Roman" w:cs="Times New Roman"/>
                <w:b/>
                <w:sz w:val="28"/>
                <w:szCs w:val="28"/>
              </w:rPr>
            </w:pPr>
          </w:p>
        </w:tc>
        <w:tc>
          <w:tcPr>
            <w:tcW w:w="2268" w:type="dxa"/>
          </w:tcPr>
          <w:p w14:paraId="2A20C5A4" w14:textId="77777777" w:rsidR="00703566" w:rsidRPr="00703566" w:rsidRDefault="00703566" w:rsidP="00703566">
            <w:pPr>
              <w:jc w:val="center"/>
              <w:rPr>
                <w:rFonts w:ascii="Times New Roman" w:hAnsi="Times New Roman" w:cs="Times New Roman"/>
                <w:b/>
                <w:sz w:val="28"/>
                <w:szCs w:val="28"/>
              </w:rPr>
            </w:pPr>
          </w:p>
        </w:tc>
      </w:tr>
      <w:tr w:rsidR="00703566" w:rsidRPr="00703566" w14:paraId="13439B07" w14:textId="77777777" w:rsidTr="008A6F48">
        <w:trPr>
          <w:jc w:val="center"/>
        </w:trPr>
        <w:tc>
          <w:tcPr>
            <w:tcW w:w="2126" w:type="dxa"/>
          </w:tcPr>
          <w:p w14:paraId="449F3119" w14:textId="77777777" w:rsidR="00703566" w:rsidRPr="00703566" w:rsidRDefault="00703566" w:rsidP="00703566">
            <w:pPr>
              <w:jc w:val="center"/>
              <w:rPr>
                <w:rFonts w:ascii="Times New Roman" w:hAnsi="Times New Roman" w:cs="Times New Roman"/>
                <w:b/>
                <w:sz w:val="28"/>
                <w:szCs w:val="28"/>
              </w:rPr>
            </w:pPr>
          </w:p>
          <w:p w14:paraId="2A2B5BE2"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II</w:t>
            </w:r>
          </w:p>
        </w:tc>
        <w:tc>
          <w:tcPr>
            <w:tcW w:w="4253" w:type="dxa"/>
          </w:tcPr>
          <w:p w14:paraId="5C70B1BC" w14:textId="77777777" w:rsidR="00703566" w:rsidRPr="00703566" w:rsidRDefault="00703566" w:rsidP="00703566">
            <w:pPr>
              <w:jc w:val="center"/>
              <w:rPr>
                <w:rFonts w:ascii="Times New Roman" w:hAnsi="Times New Roman" w:cs="Times New Roman"/>
                <w:sz w:val="28"/>
                <w:szCs w:val="28"/>
              </w:rPr>
            </w:pPr>
          </w:p>
          <w:p w14:paraId="6A5F61D2"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Review of Literature</w:t>
            </w:r>
          </w:p>
          <w:p w14:paraId="68389E09" w14:textId="77777777" w:rsidR="00703566" w:rsidRPr="00703566" w:rsidRDefault="00703566" w:rsidP="00703566">
            <w:pPr>
              <w:jc w:val="center"/>
              <w:rPr>
                <w:rFonts w:ascii="Times New Roman" w:hAnsi="Times New Roman" w:cs="Times New Roman"/>
                <w:b/>
                <w:sz w:val="28"/>
                <w:szCs w:val="28"/>
              </w:rPr>
            </w:pPr>
          </w:p>
        </w:tc>
        <w:tc>
          <w:tcPr>
            <w:tcW w:w="2268" w:type="dxa"/>
          </w:tcPr>
          <w:p w14:paraId="5F13BCEC" w14:textId="77777777" w:rsidR="00703566" w:rsidRPr="00703566" w:rsidRDefault="00703566" w:rsidP="00703566">
            <w:pPr>
              <w:rPr>
                <w:rFonts w:ascii="Times New Roman" w:hAnsi="Times New Roman" w:cs="Times New Roman"/>
                <w:b/>
                <w:sz w:val="28"/>
                <w:szCs w:val="28"/>
              </w:rPr>
            </w:pPr>
          </w:p>
        </w:tc>
      </w:tr>
      <w:tr w:rsidR="00703566" w:rsidRPr="00703566" w14:paraId="5EBEC265" w14:textId="77777777" w:rsidTr="008A6F48">
        <w:trPr>
          <w:jc w:val="center"/>
        </w:trPr>
        <w:tc>
          <w:tcPr>
            <w:tcW w:w="2126" w:type="dxa"/>
          </w:tcPr>
          <w:p w14:paraId="239F2799" w14:textId="77777777" w:rsidR="00703566" w:rsidRPr="00703566" w:rsidRDefault="00703566" w:rsidP="00703566">
            <w:pPr>
              <w:jc w:val="center"/>
              <w:rPr>
                <w:rFonts w:ascii="Times New Roman" w:hAnsi="Times New Roman" w:cs="Times New Roman"/>
                <w:b/>
                <w:sz w:val="28"/>
                <w:szCs w:val="28"/>
              </w:rPr>
            </w:pPr>
          </w:p>
          <w:p w14:paraId="2BBEDA12"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III</w:t>
            </w:r>
          </w:p>
        </w:tc>
        <w:tc>
          <w:tcPr>
            <w:tcW w:w="4253" w:type="dxa"/>
          </w:tcPr>
          <w:p w14:paraId="53C0B4F0" w14:textId="77777777" w:rsidR="00703566" w:rsidRPr="00703566" w:rsidRDefault="00703566" w:rsidP="00703566">
            <w:pPr>
              <w:jc w:val="center"/>
              <w:rPr>
                <w:rFonts w:ascii="Times New Roman" w:hAnsi="Times New Roman" w:cs="Times New Roman"/>
                <w:sz w:val="28"/>
                <w:szCs w:val="28"/>
              </w:rPr>
            </w:pPr>
          </w:p>
          <w:p w14:paraId="22EA3135"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Methodology</w:t>
            </w:r>
          </w:p>
          <w:p w14:paraId="0D6E85D0" w14:textId="77777777" w:rsidR="00703566" w:rsidRPr="00703566" w:rsidRDefault="00703566" w:rsidP="00703566">
            <w:pPr>
              <w:jc w:val="center"/>
              <w:rPr>
                <w:rFonts w:ascii="Times New Roman" w:hAnsi="Times New Roman" w:cs="Times New Roman"/>
                <w:sz w:val="28"/>
                <w:szCs w:val="28"/>
              </w:rPr>
            </w:pPr>
          </w:p>
        </w:tc>
        <w:tc>
          <w:tcPr>
            <w:tcW w:w="2268" w:type="dxa"/>
          </w:tcPr>
          <w:p w14:paraId="641041F2" w14:textId="77777777" w:rsidR="00703566" w:rsidRPr="00703566" w:rsidRDefault="00703566" w:rsidP="00703566">
            <w:pPr>
              <w:jc w:val="center"/>
              <w:rPr>
                <w:rFonts w:ascii="Times New Roman" w:hAnsi="Times New Roman" w:cs="Times New Roman"/>
                <w:b/>
                <w:sz w:val="28"/>
                <w:szCs w:val="28"/>
              </w:rPr>
            </w:pPr>
          </w:p>
        </w:tc>
      </w:tr>
      <w:tr w:rsidR="00703566" w:rsidRPr="00703566" w14:paraId="1B3C5E4A" w14:textId="77777777" w:rsidTr="008A6F48">
        <w:trPr>
          <w:jc w:val="center"/>
        </w:trPr>
        <w:tc>
          <w:tcPr>
            <w:tcW w:w="2126" w:type="dxa"/>
          </w:tcPr>
          <w:p w14:paraId="57348298" w14:textId="77777777" w:rsidR="00703566" w:rsidRPr="00703566" w:rsidRDefault="00703566" w:rsidP="00703566">
            <w:pPr>
              <w:jc w:val="center"/>
              <w:rPr>
                <w:rFonts w:ascii="Times New Roman" w:hAnsi="Times New Roman" w:cs="Times New Roman"/>
                <w:b/>
                <w:sz w:val="28"/>
                <w:szCs w:val="28"/>
              </w:rPr>
            </w:pPr>
          </w:p>
          <w:p w14:paraId="1482DC42"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IV</w:t>
            </w:r>
          </w:p>
        </w:tc>
        <w:tc>
          <w:tcPr>
            <w:tcW w:w="4253" w:type="dxa"/>
          </w:tcPr>
          <w:p w14:paraId="7B489E0C" w14:textId="77777777" w:rsidR="00703566" w:rsidRPr="00703566" w:rsidRDefault="00703566" w:rsidP="00703566">
            <w:pPr>
              <w:jc w:val="center"/>
              <w:rPr>
                <w:rFonts w:ascii="Times New Roman" w:hAnsi="Times New Roman" w:cs="Times New Roman"/>
                <w:sz w:val="28"/>
                <w:szCs w:val="28"/>
              </w:rPr>
            </w:pPr>
          </w:p>
          <w:p w14:paraId="2BE43CE7"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Results and Discussion</w:t>
            </w:r>
          </w:p>
          <w:p w14:paraId="6E013E36" w14:textId="77777777" w:rsidR="00703566" w:rsidRPr="00703566" w:rsidRDefault="00703566" w:rsidP="00703566">
            <w:pPr>
              <w:jc w:val="center"/>
              <w:rPr>
                <w:rFonts w:ascii="Times New Roman" w:hAnsi="Times New Roman" w:cs="Times New Roman"/>
                <w:sz w:val="28"/>
                <w:szCs w:val="28"/>
              </w:rPr>
            </w:pPr>
          </w:p>
        </w:tc>
        <w:tc>
          <w:tcPr>
            <w:tcW w:w="2268" w:type="dxa"/>
          </w:tcPr>
          <w:p w14:paraId="40BC84B8" w14:textId="77777777" w:rsidR="00703566" w:rsidRPr="00703566" w:rsidRDefault="00703566" w:rsidP="00703566">
            <w:pPr>
              <w:jc w:val="center"/>
              <w:rPr>
                <w:rFonts w:ascii="Times New Roman" w:hAnsi="Times New Roman" w:cs="Times New Roman"/>
                <w:b/>
                <w:sz w:val="28"/>
                <w:szCs w:val="28"/>
              </w:rPr>
            </w:pPr>
          </w:p>
        </w:tc>
      </w:tr>
      <w:tr w:rsidR="00703566" w:rsidRPr="00703566" w14:paraId="3AE556BE" w14:textId="77777777" w:rsidTr="008A6F48">
        <w:trPr>
          <w:jc w:val="center"/>
        </w:trPr>
        <w:tc>
          <w:tcPr>
            <w:tcW w:w="2126" w:type="dxa"/>
          </w:tcPr>
          <w:p w14:paraId="75F9EF62" w14:textId="77777777" w:rsidR="00703566" w:rsidRPr="00703566" w:rsidRDefault="00703566" w:rsidP="00703566">
            <w:pPr>
              <w:jc w:val="center"/>
              <w:rPr>
                <w:rFonts w:ascii="Times New Roman" w:hAnsi="Times New Roman" w:cs="Times New Roman"/>
                <w:b/>
                <w:sz w:val="28"/>
                <w:szCs w:val="28"/>
              </w:rPr>
            </w:pPr>
          </w:p>
          <w:p w14:paraId="10616CC7"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V</w:t>
            </w:r>
          </w:p>
        </w:tc>
        <w:tc>
          <w:tcPr>
            <w:tcW w:w="4253" w:type="dxa"/>
          </w:tcPr>
          <w:p w14:paraId="0496D09C" w14:textId="77777777" w:rsidR="00703566" w:rsidRPr="00703566" w:rsidRDefault="00703566" w:rsidP="00703566">
            <w:pPr>
              <w:jc w:val="center"/>
              <w:rPr>
                <w:rFonts w:ascii="Times New Roman" w:hAnsi="Times New Roman" w:cs="Times New Roman"/>
                <w:sz w:val="28"/>
                <w:szCs w:val="28"/>
              </w:rPr>
            </w:pPr>
          </w:p>
          <w:p w14:paraId="28CD9AA2"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Summary and Conclusions</w:t>
            </w:r>
          </w:p>
          <w:p w14:paraId="72B207E6" w14:textId="77777777" w:rsidR="00703566" w:rsidRPr="00703566" w:rsidRDefault="00703566" w:rsidP="00703566">
            <w:pPr>
              <w:jc w:val="center"/>
              <w:rPr>
                <w:rFonts w:ascii="Times New Roman" w:hAnsi="Times New Roman" w:cs="Times New Roman"/>
                <w:sz w:val="28"/>
                <w:szCs w:val="28"/>
              </w:rPr>
            </w:pPr>
          </w:p>
        </w:tc>
        <w:tc>
          <w:tcPr>
            <w:tcW w:w="2268" w:type="dxa"/>
          </w:tcPr>
          <w:p w14:paraId="32E5F499" w14:textId="77777777" w:rsidR="00703566" w:rsidRPr="00703566" w:rsidRDefault="00703566" w:rsidP="00703566">
            <w:pPr>
              <w:jc w:val="center"/>
              <w:rPr>
                <w:rFonts w:ascii="Times New Roman" w:hAnsi="Times New Roman" w:cs="Times New Roman"/>
                <w:sz w:val="28"/>
                <w:szCs w:val="28"/>
              </w:rPr>
            </w:pPr>
          </w:p>
        </w:tc>
      </w:tr>
      <w:tr w:rsidR="00703566" w:rsidRPr="00703566" w14:paraId="003F1B2B" w14:textId="77777777" w:rsidTr="008A6F48">
        <w:trPr>
          <w:jc w:val="center"/>
        </w:trPr>
        <w:tc>
          <w:tcPr>
            <w:tcW w:w="2126" w:type="dxa"/>
          </w:tcPr>
          <w:p w14:paraId="0B3D839B" w14:textId="77777777" w:rsidR="00703566" w:rsidRPr="00703566" w:rsidRDefault="00703566" w:rsidP="00703566">
            <w:pPr>
              <w:jc w:val="center"/>
              <w:rPr>
                <w:rFonts w:ascii="Times New Roman" w:hAnsi="Times New Roman" w:cs="Times New Roman"/>
                <w:b/>
                <w:sz w:val="28"/>
                <w:szCs w:val="28"/>
              </w:rPr>
            </w:pPr>
          </w:p>
        </w:tc>
        <w:tc>
          <w:tcPr>
            <w:tcW w:w="4253" w:type="dxa"/>
          </w:tcPr>
          <w:p w14:paraId="51EE76D9" w14:textId="77777777" w:rsidR="00703566" w:rsidRPr="00703566" w:rsidRDefault="00703566" w:rsidP="00703566">
            <w:pPr>
              <w:jc w:val="center"/>
              <w:rPr>
                <w:rFonts w:ascii="Times New Roman" w:hAnsi="Times New Roman" w:cs="Times New Roman"/>
                <w:sz w:val="28"/>
                <w:szCs w:val="28"/>
              </w:rPr>
            </w:pPr>
          </w:p>
          <w:p w14:paraId="44523CBF"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Bibliography</w:t>
            </w:r>
          </w:p>
          <w:p w14:paraId="21F14407" w14:textId="77777777" w:rsidR="00703566" w:rsidRPr="00703566" w:rsidRDefault="00703566" w:rsidP="00703566">
            <w:pPr>
              <w:jc w:val="center"/>
              <w:rPr>
                <w:rFonts w:ascii="Times New Roman" w:hAnsi="Times New Roman" w:cs="Times New Roman"/>
                <w:sz w:val="28"/>
                <w:szCs w:val="28"/>
              </w:rPr>
            </w:pPr>
          </w:p>
        </w:tc>
        <w:tc>
          <w:tcPr>
            <w:tcW w:w="2268" w:type="dxa"/>
          </w:tcPr>
          <w:p w14:paraId="3FCB95D0" w14:textId="77777777" w:rsidR="00703566" w:rsidRPr="00703566" w:rsidRDefault="00703566" w:rsidP="00703566">
            <w:pPr>
              <w:jc w:val="center"/>
              <w:rPr>
                <w:rFonts w:ascii="Times New Roman" w:hAnsi="Times New Roman" w:cs="Times New Roman"/>
                <w:b/>
                <w:sz w:val="28"/>
                <w:szCs w:val="28"/>
              </w:rPr>
            </w:pPr>
          </w:p>
        </w:tc>
      </w:tr>
      <w:tr w:rsidR="00703566" w:rsidRPr="00703566" w14:paraId="5E868E7D" w14:textId="77777777" w:rsidTr="008A6F48">
        <w:trPr>
          <w:jc w:val="center"/>
        </w:trPr>
        <w:tc>
          <w:tcPr>
            <w:tcW w:w="2126" w:type="dxa"/>
          </w:tcPr>
          <w:p w14:paraId="1001E27E" w14:textId="77777777" w:rsidR="00703566" w:rsidRPr="00703566" w:rsidRDefault="00703566" w:rsidP="00703566">
            <w:pPr>
              <w:jc w:val="center"/>
              <w:rPr>
                <w:rFonts w:ascii="Times New Roman" w:hAnsi="Times New Roman" w:cs="Times New Roman"/>
                <w:b/>
                <w:sz w:val="28"/>
                <w:szCs w:val="28"/>
              </w:rPr>
            </w:pPr>
          </w:p>
        </w:tc>
        <w:tc>
          <w:tcPr>
            <w:tcW w:w="4253" w:type="dxa"/>
          </w:tcPr>
          <w:p w14:paraId="335AB326" w14:textId="77777777" w:rsidR="00703566" w:rsidRPr="00703566" w:rsidRDefault="00703566" w:rsidP="00703566">
            <w:pPr>
              <w:jc w:val="center"/>
              <w:rPr>
                <w:rFonts w:ascii="Times New Roman" w:hAnsi="Times New Roman" w:cs="Times New Roman"/>
                <w:sz w:val="28"/>
                <w:szCs w:val="28"/>
              </w:rPr>
            </w:pPr>
          </w:p>
          <w:p w14:paraId="39978391"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Appendix</w:t>
            </w:r>
          </w:p>
          <w:p w14:paraId="049F17AA" w14:textId="77777777" w:rsidR="00703566" w:rsidRPr="00703566" w:rsidRDefault="00703566" w:rsidP="00703566">
            <w:pPr>
              <w:jc w:val="center"/>
              <w:rPr>
                <w:rFonts w:ascii="Times New Roman" w:hAnsi="Times New Roman" w:cs="Times New Roman"/>
                <w:sz w:val="28"/>
                <w:szCs w:val="28"/>
              </w:rPr>
            </w:pPr>
          </w:p>
        </w:tc>
        <w:tc>
          <w:tcPr>
            <w:tcW w:w="2268" w:type="dxa"/>
          </w:tcPr>
          <w:p w14:paraId="665B7AE5" w14:textId="77777777" w:rsidR="00703566" w:rsidRPr="00703566" w:rsidRDefault="00703566" w:rsidP="00703566">
            <w:pPr>
              <w:jc w:val="center"/>
              <w:rPr>
                <w:rFonts w:ascii="Times New Roman" w:hAnsi="Times New Roman" w:cs="Times New Roman"/>
                <w:b/>
                <w:sz w:val="28"/>
                <w:szCs w:val="28"/>
              </w:rPr>
            </w:pPr>
          </w:p>
        </w:tc>
      </w:tr>
    </w:tbl>
    <w:p w14:paraId="6B152F71" w14:textId="77777777" w:rsidR="00703566" w:rsidRPr="00703566" w:rsidRDefault="00703566" w:rsidP="00703566">
      <w:pPr>
        <w:spacing w:after="200" w:line="360" w:lineRule="auto"/>
        <w:jc w:val="center"/>
        <w:rPr>
          <w:rFonts w:ascii="Times New Roman" w:eastAsia="Calibri" w:hAnsi="Times New Roman" w:cs="Times New Roman"/>
          <w:sz w:val="24"/>
          <w:szCs w:val="24"/>
          <w:lang w:val="en-US"/>
        </w:rPr>
      </w:pPr>
    </w:p>
    <w:p w14:paraId="26CA00AE" w14:textId="77777777" w:rsidR="00703566" w:rsidRPr="00703566" w:rsidRDefault="00703566" w:rsidP="00703566">
      <w:pPr>
        <w:spacing w:after="200" w:line="360" w:lineRule="auto"/>
        <w:jc w:val="center"/>
        <w:rPr>
          <w:rFonts w:ascii="Times New Roman" w:eastAsia="Calibri" w:hAnsi="Times New Roman" w:cs="Times New Roman"/>
          <w:sz w:val="24"/>
          <w:szCs w:val="24"/>
          <w:lang w:val="en-US"/>
        </w:rPr>
      </w:pPr>
    </w:p>
    <w:p w14:paraId="2E88EC27" w14:textId="77777777" w:rsidR="00703566" w:rsidRPr="00703566" w:rsidRDefault="00703566" w:rsidP="00703566">
      <w:pPr>
        <w:spacing w:after="200" w:line="360" w:lineRule="auto"/>
        <w:jc w:val="center"/>
        <w:rPr>
          <w:rFonts w:ascii="Times New Roman" w:eastAsia="Calibri" w:hAnsi="Times New Roman" w:cs="Times New Roman"/>
          <w:sz w:val="24"/>
          <w:szCs w:val="24"/>
          <w:lang w:val="en-US"/>
        </w:rPr>
      </w:pPr>
    </w:p>
    <w:p w14:paraId="55D85EF2" w14:textId="77777777" w:rsidR="00703566" w:rsidRPr="00703566" w:rsidRDefault="00703566" w:rsidP="00703566">
      <w:pPr>
        <w:spacing w:after="200" w:line="360" w:lineRule="auto"/>
        <w:jc w:val="center"/>
        <w:rPr>
          <w:rFonts w:ascii="Times New Roman" w:eastAsia="Calibri" w:hAnsi="Times New Roman" w:cs="Times New Roman"/>
          <w:sz w:val="24"/>
          <w:szCs w:val="24"/>
          <w:lang w:val="en-US"/>
        </w:rPr>
      </w:pPr>
    </w:p>
    <w:p w14:paraId="68BF4E64" w14:textId="77777777" w:rsidR="00703566" w:rsidRPr="00703566" w:rsidRDefault="00703566" w:rsidP="00703566">
      <w:pPr>
        <w:spacing w:after="200" w:line="360" w:lineRule="auto"/>
        <w:jc w:val="center"/>
        <w:rPr>
          <w:rFonts w:ascii="Times New Roman" w:eastAsia="Calibri" w:hAnsi="Times New Roman" w:cs="Times New Roman"/>
          <w:sz w:val="24"/>
          <w:szCs w:val="24"/>
          <w:lang w:val="en-US"/>
        </w:rPr>
      </w:pPr>
    </w:p>
    <w:p w14:paraId="0E2F426D" w14:textId="77777777" w:rsidR="00703566" w:rsidRPr="00703566" w:rsidRDefault="00703566" w:rsidP="00703566">
      <w:pPr>
        <w:spacing w:after="200" w:line="360" w:lineRule="auto"/>
        <w:jc w:val="center"/>
        <w:rPr>
          <w:rFonts w:ascii="Times New Roman" w:eastAsia="Calibri" w:hAnsi="Times New Roman" w:cs="Times New Roman"/>
          <w:sz w:val="24"/>
          <w:szCs w:val="24"/>
          <w:lang w:val="en-US"/>
        </w:rPr>
      </w:pPr>
    </w:p>
    <w:p w14:paraId="4613F8E2"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r w:rsidRPr="00703566">
        <w:rPr>
          <w:rFonts w:ascii="Times New Roman" w:eastAsia="Calibri" w:hAnsi="Times New Roman" w:cs="Times New Roman"/>
          <w:b/>
          <w:sz w:val="28"/>
          <w:szCs w:val="28"/>
          <w:lang w:val="en-US"/>
        </w:rPr>
        <w:t>LIST OF TABLES</w:t>
      </w:r>
    </w:p>
    <w:tbl>
      <w:tblPr>
        <w:tblStyle w:val="TableGrid"/>
        <w:tblW w:w="0" w:type="auto"/>
        <w:jc w:val="center"/>
        <w:tblLook w:val="04A0" w:firstRow="1" w:lastRow="0" w:firstColumn="1" w:lastColumn="0" w:noHBand="0" w:noVBand="1"/>
      </w:tblPr>
      <w:tblGrid>
        <w:gridCol w:w="949"/>
        <w:gridCol w:w="6095"/>
        <w:gridCol w:w="1466"/>
      </w:tblGrid>
      <w:tr w:rsidR="00703566" w:rsidRPr="00703566" w14:paraId="0EEAA34E" w14:textId="77777777" w:rsidTr="008A6F48">
        <w:trPr>
          <w:jc w:val="center"/>
        </w:trPr>
        <w:tc>
          <w:tcPr>
            <w:tcW w:w="949" w:type="dxa"/>
          </w:tcPr>
          <w:p w14:paraId="073FD32B" w14:textId="77777777" w:rsidR="00703566" w:rsidRPr="00703566" w:rsidRDefault="00703566" w:rsidP="00703566">
            <w:pPr>
              <w:jc w:val="center"/>
              <w:rPr>
                <w:rFonts w:ascii="Times New Roman" w:hAnsi="Times New Roman" w:cs="Times New Roman"/>
                <w:b/>
                <w:sz w:val="28"/>
                <w:szCs w:val="28"/>
              </w:rPr>
            </w:pPr>
          </w:p>
          <w:p w14:paraId="3694BCAA" w14:textId="77777777" w:rsidR="00703566" w:rsidRPr="00703566" w:rsidRDefault="00703566" w:rsidP="00703566">
            <w:pPr>
              <w:jc w:val="center"/>
              <w:rPr>
                <w:rFonts w:ascii="Times New Roman" w:hAnsi="Times New Roman" w:cs="Times New Roman"/>
                <w:b/>
                <w:sz w:val="28"/>
                <w:szCs w:val="28"/>
              </w:rPr>
            </w:pPr>
            <w:proofErr w:type="gramStart"/>
            <w:r w:rsidRPr="00703566">
              <w:rPr>
                <w:rFonts w:ascii="Times New Roman" w:hAnsi="Times New Roman" w:cs="Times New Roman"/>
                <w:b/>
                <w:sz w:val="28"/>
                <w:szCs w:val="28"/>
              </w:rPr>
              <w:t>SI  No.</w:t>
            </w:r>
            <w:proofErr w:type="gramEnd"/>
          </w:p>
        </w:tc>
        <w:tc>
          <w:tcPr>
            <w:tcW w:w="6095" w:type="dxa"/>
          </w:tcPr>
          <w:p w14:paraId="03168766" w14:textId="77777777" w:rsidR="00703566" w:rsidRPr="00703566" w:rsidRDefault="00703566" w:rsidP="00703566">
            <w:pPr>
              <w:jc w:val="center"/>
              <w:rPr>
                <w:rFonts w:ascii="Times New Roman" w:hAnsi="Times New Roman" w:cs="Times New Roman"/>
                <w:b/>
                <w:sz w:val="28"/>
                <w:szCs w:val="28"/>
              </w:rPr>
            </w:pPr>
          </w:p>
          <w:p w14:paraId="12550C07"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Title</w:t>
            </w:r>
          </w:p>
          <w:p w14:paraId="63BB3652" w14:textId="77777777" w:rsidR="00703566" w:rsidRPr="00703566" w:rsidRDefault="00703566" w:rsidP="00703566">
            <w:pPr>
              <w:rPr>
                <w:rFonts w:ascii="Times New Roman" w:hAnsi="Times New Roman" w:cs="Times New Roman"/>
                <w:sz w:val="28"/>
                <w:szCs w:val="28"/>
              </w:rPr>
            </w:pPr>
          </w:p>
        </w:tc>
        <w:tc>
          <w:tcPr>
            <w:tcW w:w="1466" w:type="dxa"/>
          </w:tcPr>
          <w:p w14:paraId="201FC71A" w14:textId="77777777" w:rsidR="00703566" w:rsidRPr="00703566" w:rsidRDefault="00703566" w:rsidP="00703566">
            <w:pPr>
              <w:jc w:val="center"/>
              <w:rPr>
                <w:rFonts w:ascii="Times New Roman" w:hAnsi="Times New Roman" w:cs="Times New Roman"/>
                <w:b/>
                <w:sz w:val="28"/>
                <w:szCs w:val="28"/>
              </w:rPr>
            </w:pPr>
          </w:p>
          <w:p w14:paraId="7E25E5B7"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Page No.</w:t>
            </w:r>
          </w:p>
        </w:tc>
      </w:tr>
      <w:tr w:rsidR="00703566" w:rsidRPr="00703566" w14:paraId="4C19474D" w14:textId="77777777" w:rsidTr="008A6F48">
        <w:trPr>
          <w:jc w:val="center"/>
        </w:trPr>
        <w:tc>
          <w:tcPr>
            <w:tcW w:w="949" w:type="dxa"/>
          </w:tcPr>
          <w:p w14:paraId="5A87AAB2" w14:textId="77777777" w:rsidR="00703566" w:rsidRPr="00703566" w:rsidRDefault="00703566" w:rsidP="00703566">
            <w:pPr>
              <w:jc w:val="center"/>
              <w:rPr>
                <w:rFonts w:ascii="Times New Roman" w:hAnsi="Times New Roman" w:cs="Times New Roman"/>
                <w:sz w:val="28"/>
                <w:szCs w:val="28"/>
              </w:rPr>
            </w:pPr>
          </w:p>
          <w:p w14:paraId="21AC53D2"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w:t>
            </w:r>
          </w:p>
        </w:tc>
        <w:tc>
          <w:tcPr>
            <w:tcW w:w="6095" w:type="dxa"/>
          </w:tcPr>
          <w:p w14:paraId="6B185B01" w14:textId="77777777" w:rsidR="00703566" w:rsidRPr="00703566" w:rsidRDefault="00703566" w:rsidP="00703566">
            <w:pPr>
              <w:jc w:val="center"/>
              <w:rPr>
                <w:rFonts w:ascii="Times New Roman" w:hAnsi="Times New Roman" w:cs="Times New Roman"/>
                <w:bCs/>
                <w:color w:val="000000"/>
                <w:sz w:val="28"/>
                <w:szCs w:val="28"/>
              </w:rPr>
            </w:pPr>
          </w:p>
          <w:p w14:paraId="20682CA7" w14:textId="77777777" w:rsidR="00703566" w:rsidRPr="00703566" w:rsidRDefault="00703566" w:rsidP="00703566">
            <w:pPr>
              <w:jc w:val="center"/>
              <w:rPr>
                <w:rFonts w:ascii="Times New Roman" w:hAnsi="Times New Roman" w:cs="Times New Roman"/>
                <w:bCs/>
                <w:color w:val="000000"/>
                <w:sz w:val="28"/>
                <w:szCs w:val="28"/>
              </w:rPr>
            </w:pPr>
            <w:r w:rsidRPr="00703566">
              <w:rPr>
                <w:rFonts w:ascii="Times New Roman" w:hAnsi="Times New Roman" w:cs="Times New Roman"/>
                <w:bCs/>
                <w:color w:val="000000"/>
                <w:sz w:val="28"/>
                <w:szCs w:val="28"/>
              </w:rPr>
              <w:t>Classification of Body Mass Index</w:t>
            </w:r>
          </w:p>
          <w:p w14:paraId="5785BCBC" w14:textId="77777777" w:rsidR="00703566" w:rsidRPr="00703566" w:rsidRDefault="00703566" w:rsidP="00703566">
            <w:pPr>
              <w:jc w:val="center"/>
              <w:rPr>
                <w:rFonts w:ascii="Times New Roman" w:hAnsi="Times New Roman" w:cs="Times New Roman"/>
                <w:sz w:val="28"/>
                <w:szCs w:val="28"/>
              </w:rPr>
            </w:pPr>
          </w:p>
        </w:tc>
        <w:tc>
          <w:tcPr>
            <w:tcW w:w="1466" w:type="dxa"/>
          </w:tcPr>
          <w:p w14:paraId="40A66FBC" w14:textId="77777777" w:rsidR="00703566" w:rsidRPr="00703566" w:rsidRDefault="00703566" w:rsidP="00703566">
            <w:pPr>
              <w:jc w:val="center"/>
              <w:rPr>
                <w:rFonts w:ascii="Times New Roman" w:hAnsi="Times New Roman" w:cs="Times New Roman"/>
                <w:sz w:val="28"/>
                <w:szCs w:val="28"/>
              </w:rPr>
            </w:pPr>
          </w:p>
        </w:tc>
      </w:tr>
      <w:tr w:rsidR="00703566" w:rsidRPr="00703566" w14:paraId="4A5BC5CE" w14:textId="77777777" w:rsidTr="008A6F48">
        <w:trPr>
          <w:jc w:val="center"/>
        </w:trPr>
        <w:tc>
          <w:tcPr>
            <w:tcW w:w="949" w:type="dxa"/>
          </w:tcPr>
          <w:p w14:paraId="00D1442C" w14:textId="77777777" w:rsidR="00703566" w:rsidRPr="00703566" w:rsidRDefault="00703566" w:rsidP="00703566">
            <w:pPr>
              <w:jc w:val="center"/>
              <w:rPr>
                <w:rFonts w:ascii="Times New Roman" w:hAnsi="Times New Roman" w:cs="Times New Roman"/>
                <w:sz w:val="28"/>
                <w:szCs w:val="28"/>
              </w:rPr>
            </w:pPr>
          </w:p>
          <w:p w14:paraId="7730EE60"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2</w:t>
            </w:r>
          </w:p>
        </w:tc>
        <w:tc>
          <w:tcPr>
            <w:tcW w:w="6095" w:type="dxa"/>
          </w:tcPr>
          <w:p w14:paraId="2B35C107" w14:textId="77777777" w:rsidR="00703566" w:rsidRPr="00703566" w:rsidRDefault="00703566" w:rsidP="00703566">
            <w:pPr>
              <w:jc w:val="center"/>
              <w:rPr>
                <w:rFonts w:ascii="Times New Roman" w:hAnsi="Times New Roman" w:cs="Times New Roman"/>
                <w:bCs/>
                <w:color w:val="000000"/>
                <w:sz w:val="28"/>
                <w:szCs w:val="28"/>
              </w:rPr>
            </w:pPr>
          </w:p>
          <w:p w14:paraId="483AFAFD" w14:textId="77777777" w:rsidR="00703566" w:rsidRPr="00703566" w:rsidRDefault="00703566" w:rsidP="00703566">
            <w:pPr>
              <w:jc w:val="center"/>
              <w:rPr>
                <w:rFonts w:ascii="Times New Roman" w:hAnsi="Times New Roman" w:cs="Times New Roman"/>
                <w:bCs/>
                <w:color w:val="000000"/>
                <w:sz w:val="28"/>
                <w:szCs w:val="28"/>
              </w:rPr>
            </w:pPr>
            <w:r w:rsidRPr="00703566">
              <w:rPr>
                <w:rFonts w:ascii="Times New Roman" w:hAnsi="Times New Roman" w:cs="Times New Roman"/>
                <w:bCs/>
                <w:color w:val="000000"/>
                <w:sz w:val="28"/>
                <w:szCs w:val="28"/>
              </w:rPr>
              <w:t>Depression Anxiety Stress Scale</w:t>
            </w:r>
          </w:p>
          <w:p w14:paraId="19BBA6C3" w14:textId="77777777" w:rsidR="00703566" w:rsidRPr="00703566" w:rsidRDefault="00703566" w:rsidP="00703566">
            <w:pPr>
              <w:jc w:val="center"/>
              <w:rPr>
                <w:rFonts w:ascii="Times New Roman" w:hAnsi="Times New Roman" w:cs="Times New Roman"/>
                <w:sz w:val="28"/>
                <w:szCs w:val="28"/>
              </w:rPr>
            </w:pPr>
          </w:p>
        </w:tc>
        <w:tc>
          <w:tcPr>
            <w:tcW w:w="1466" w:type="dxa"/>
          </w:tcPr>
          <w:p w14:paraId="4EF93B10" w14:textId="77777777" w:rsidR="00703566" w:rsidRPr="00703566" w:rsidRDefault="00703566" w:rsidP="00703566">
            <w:pPr>
              <w:jc w:val="center"/>
              <w:rPr>
                <w:rFonts w:ascii="Times New Roman" w:hAnsi="Times New Roman" w:cs="Times New Roman"/>
                <w:sz w:val="28"/>
                <w:szCs w:val="28"/>
              </w:rPr>
            </w:pPr>
          </w:p>
        </w:tc>
      </w:tr>
      <w:tr w:rsidR="00703566" w:rsidRPr="00703566" w14:paraId="4D7DB648" w14:textId="77777777" w:rsidTr="008A6F48">
        <w:trPr>
          <w:jc w:val="center"/>
        </w:trPr>
        <w:tc>
          <w:tcPr>
            <w:tcW w:w="949" w:type="dxa"/>
          </w:tcPr>
          <w:p w14:paraId="3DC04661" w14:textId="77777777" w:rsidR="00703566" w:rsidRPr="00703566" w:rsidRDefault="00703566" w:rsidP="00703566">
            <w:pPr>
              <w:jc w:val="center"/>
              <w:rPr>
                <w:rFonts w:ascii="Times New Roman" w:hAnsi="Times New Roman" w:cs="Times New Roman"/>
                <w:sz w:val="28"/>
                <w:szCs w:val="28"/>
              </w:rPr>
            </w:pPr>
          </w:p>
          <w:p w14:paraId="1458C936"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3</w:t>
            </w:r>
          </w:p>
        </w:tc>
        <w:tc>
          <w:tcPr>
            <w:tcW w:w="6095" w:type="dxa"/>
          </w:tcPr>
          <w:p w14:paraId="2D2BEB85" w14:textId="77777777" w:rsidR="00703566" w:rsidRPr="00703566" w:rsidRDefault="00703566" w:rsidP="00703566">
            <w:pPr>
              <w:jc w:val="center"/>
              <w:rPr>
                <w:rFonts w:ascii="Times New Roman" w:hAnsi="Times New Roman" w:cs="Times New Roman"/>
                <w:sz w:val="28"/>
                <w:szCs w:val="28"/>
              </w:rPr>
            </w:pPr>
          </w:p>
          <w:p w14:paraId="08F70B10"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sz w:val="28"/>
                <w:szCs w:val="28"/>
              </w:rPr>
              <w:t>Body Mass Index of Target Group</w:t>
            </w:r>
          </w:p>
        </w:tc>
        <w:tc>
          <w:tcPr>
            <w:tcW w:w="1466" w:type="dxa"/>
          </w:tcPr>
          <w:p w14:paraId="08700BB4" w14:textId="77777777" w:rsidR="00703566" w:rsidRPr="00703566" w:rsidRDefault="00703566" w:rsidP="00703566">
            <w:pPr>
              <w:jc w:val="center"/>
              <w:rPr>
                <w:rFonts w:ascii="Times New Roman" w:hAnsi="Times New Roman" w:cs="Times New Roman"/>
                <w:sz w:val="28"/>
                <w:szCs w:val="28"/>
              </w:rPr>
            </w:pPr>
          </w:p>
        </w:tc>
      </w:tr>
      <w:tr w:rsidR="00703566" w:rsidRPr="00703566" w14:paraId="5F578665" w14:textId="77777777" w:rsidTr="008A6F48">
        <w:trPr>
          <w:jc w:val="center"/>
        </w:trPr>
        <w:tc>
          <w:tcPr>
            <w:tcW w:w="949" w:type="dxa"/>
          </w:tcPr>
          <w:p w14:paraId="6AC6C357" w14:textId="77777777" w:rsidR="00703566" w:rsidRPr="00703566" w:rsidRDefault="00703566" w:rsidP="00703566">
            <w:pPr>
              <w:jc w:val="center"/>
              <w:rPr>
                <w:rFonts w:ascii="Times New Roman" w:hAnsi="Times New Roman" w:cs="Times New Roman"/>
                <w:sz w:val="28"/>
                <w:szCs w:val="28"/>
              </w:rPr>
            </w:pPr>
          </w:p>
          <w:p w14:paraId="6640E2F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4</w:t>
            </w:r>
          </w:p>
        </w:tc>
        <w:tc>
          <w:tcPr>
            <w:tcW w:w="6095" w:type="dxa"/>
          </w:tcPr>
          <w:p w14:paraId="6250931E" w14:textId="77777777" w:rsidR="00703566" w:rsidRPr="00703566" w:rsidRDefault="00703566" w:rsidP="00703566">
            <w:pPr>
              <w:jc w:val="center"/>
              <w:rPr>
                <w:rFonts w:ascii="Times New Roman" w:hAnsi="Times New Roman" w:cs="Times New Roman"/>
                <w:sz w:val="28"/>
                <w:szCs w:val="28"/>
              </w:rPr>
            </w:pPr>
          </w:p>
          <w:p w14:paraId="4828E13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Physical Activity of Samples</w:t>
            </w:r>
          </w:p>
        </w:tc>
        <w:tc>
          <w:tcPr>
            <w:tcW w:w="1466" w:type="dxa"/>
          </w:tcPr>
          <w:p w14:paraId="63556D86" w14:textId="77777777" w:rsidR="00703566" w:rsidRPr="00703566" w:rsidRDefault="00703566" w:rsidP="00703566">
            <w:pPr>
              <w:jc w:val="center"/>
              <w:rPr>
                <w:rFonts w:ascii="Times New Roman" w:hAnsi="Times New Roman" w:cs="Times New Roman"/>
                <w:sz w:val="28"/>
                <w:szCs w:val="28"/>
              </w:rPr>
            </w:pPr>
          </w:p>
        </w:tc>
      </w:tr>
      <w:tr w:rsidR="00703566" w:rsidRPr="00703566" w14:paraId="475D11FE" w14:textId="77777777" w:rsidTr="008A6F48">
        <w:trPr>
          <w:jc w:val="center"/>
        </w:trPr>
        <w:tc>
          <w:tcPr>
            <w:tcW w:w="949" w:type="dxa"/>
          </w:tcPr>
          <w:p w14:paraId="3BCBACEE" w14:textId="77777777" w:rsidR="00703566" w:rsidRPr="00703566" w:rsidRDefault="00703566" w:rsidP="00703566">
            <w:pPr>
              <w:jc w:val="center"/>
              <w:rPr>
                <w:rFonts w:ascii="Times New Roman" w:hAnsi="Times New Roman" w:cs="Times New Roman"/>
                <w:sz w:val="28"/>
                <w:szCs w:val="28"/>
              </w:rPr>
            </w:pPr>
          </w:p>
          <w:p w14:paraId="0FB5F0F1"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5</w:t>
            </w:r>
          </w:p>
        </w:tc>
        <w:tc>
          <w:tcPr>
            <w:tcW w:w="6095" w:type="dxa"/>
          </w:tcPr>
          <w:p w14:paraId="51E91628" w14:textId="77777777" w:rsidR="00703566" w:rsidRPr="00703566" w:rsidRDefault="00703566" w:rsidP="00703566">
            <w:pPr>
              <w:jc w:val="center"/>
              <w:rPr>
                <w:rFonts w:ascii="Times New Roman" w:hAnsi="Times New Roman" w:cs="Times New Roman"/>
                <w:sz w:val="28"/>
                <w:szCs w:val="28"/>
              </w:rPr>
            </w:pPr>
          </w:p>
          <w:p w14:paraId="7603D6BE"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Duration of Hospital Stay of Target Group</w:t>
            </w:r>
          </w:p>
        </w:tc>
        <w:tc>
          <w:tcPr>
            <w:tcW w:w="1466" w:type="dxa"/>
          </w:tcPr>
          <w:p w14:paraId="0C522B8A" w14:textId="77777777" w:rsidR="00703566" w:rsidRPr="00703566" w:rsidRDefault="00703566" w:rsidP="00703566">
            <w:pPr>
              <w:jc w:val="center"/>
              <w:rPr>
                <w:rFonts w:ascii="Times New Roman" w:hAnsi="Times New Roman" w:cs="Times New Roman"/>
                <w:sz w:val="28"/>
                <w:szCs w:val="28"/>
              </w:rPr>
            </w:pPr>
          </w:p>
        </w:tc>
      </w:tr>
      <w:tr w:rsidR="00703566" w:rsidRPr="00703566" w14:paraId="6040FB50" w14:textId="77777777" w:rsidTr="008A6F48">
        <w:trPr>
          <w:jc w:val="center"/>
        </w:trPr>
        <w:tc>
          <w:tcPr>
            <w:tcW w:w="949" w:type="dxa"/>
          </w:tcPr>
          <w:p w14:paraId="58881457" w14:textId="77777777" w:rsidR="00703566" w:rsidRPr="00703566" w:rsidRDefault="00703566" w:rsidP="00703566">
            <w:pPr>
              <w:jc w:val="center"/>
              <w:rPr>
                <w:rFonts w:ascii="Times New Roman" w:hAnsi="Times New Roman" w:cs="Times New Roman"/>
                <w:sz w:val="28"/>
                <w:szCs w:val="28"/>
              </w:rPr>
            </w:pPr>
          </w:p>
          <w:p w14:paraId="778129FD"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6</w:t>
            </w:r>
          </w:p>
        </w:tc>
        <w:tc>
          <w:tcPr>
            <w:tcW w:w="6095" w:type="dxa"/>
          </w:tcPr>
          <w:p w14:paraId="3134CDB1" w14:textId="77777777" w:rsidR="00703566" w:rsidRPr="00703566" w:rsidRDefault="00703566" w:rsidP="00703566">
            <w:pPr>
              <w:jc w:val="center"/>
              <w:rPr>
                <w:rFonts w:ascii="Times New Roman" w:hAnsi="Times New Roman" w:cs="Times New Roman"/>
                <w:sz w:val="28"/>
                <w:szCs w:val="28"/>
              </w:rPr>
            </w:pPr>
          </w:p>
          <w:p w14:paraId="51C3BFAA"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Medical History of Samples</w:t>
            </w:r>
          </w:p>
        </w:tc>
        <w:tc>
          <w:tcPr>
            <w:tcW w:w="1466" w:type="dxa"/>
          </w:tcPr>
          <w:p w14:paraId="5D9CB7B8" w14:textId="77777777" w:rsidR="00703566" w:rsidRPr="00703566" w:rsidRDefault="00703566" w:rsidP="00703566">
            <w:pPr>
              <w:jc w:val="center"/>
              <w:rPr>
                <w:rFonts w:ascii="Times New Roman" w:hAnsi="Times New Roman" w:cs="Times New Roman"/>
                <w:sz w:val="28"/>
                <w:szCs w:val="28"/>
              </w:rPr>
            </w:pPr>
          </w:p>
        </w:tc>
      </w:tr>
      <w:tr w:rsidR="00703566" w:rsidRPr="00703566" w14:paraId="741F3474" w14:textId="77777777" w:rsidTr="008A6F48">
        <w:trPr>
          <w:jc w:val="center"/>
        </w:trPr>
        <w:tc>
          <w:tcPr>
            <w:tcW w:w="949" w:type="dxa"/>
          </w:tcPr>
          <w:p w14:paraId="37F6145D" w14:textId="77777777" w:rsidR="00703566" w:rsidRPr="00703566" w:rsidRDefault="00703566" w:rsidP="00703566">
            <w:pPr>
              <w:spacing w:line="360" w:lineRule="auto"/>
              <w:jc w:val="center"/>
              <w:rPr>
                <w:rFonts w:ascii="Times New Roman" w:hAnsi="Times New Roman" w:cs="Times New Roman"/>
                <w:sz w:val="28"/>
                <w:szCs w:val="28"/>
              </w:rPr>
            </w:pPr>
          </w:p>
          <w:p w14:paraId="767807A0"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sz w:val="28"/>
                <w:szCs w:val="28"/>
              </w:rPr>
              <w:t xml:space="preserve">7 </w:t>
            </w:r>
          </w:p>
        </w:tc>
        <w:tc>
          <w:tcPr>
            <w:tcW w:w="6095" w:type="dxa"/>
          </w:tcPr>
          <w:p w14:paraId="75C98F24" w14:textId="77777777" w:rsidR="00703566" w:rsidRPr="00703566" w:rsidRDefault="00703566" w:rsidP="00703566">
            <w:pPr>
              <w:spacing w:line="360" w:lineRule="auto"/>
              <w:jc w:val="center"/>
              <w:rPr>
                <w:rFonts w:ascii="Times New Roman" w:hAnsi="Times New Roman" w:cs="Times New Roman"/>
                <w:color w:val="000000"/>
                <w:sz w:val="28"/>
                <w:szCs w:val="28"/>
              </w:rPr>
            </w:pPr>
          </w:p>
          <w:p w14:paraId="50854865"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color w:val="000000"/>
                <w:sz w:val="28"/>
                <w:szCs w:val="28"/>
              </w:rPr>
              <w:t>Worsening of Existing Disease in Target Group</w:t>
            </w:r>
          </w:p>
        </w:tc>
        <w:tc>
          <w:tcPr>
            <w:tcW w:w="1466" w:type="dxa"/>
          </w:tcPr>
          <w:p w14:paraId="24372F52" w14:textId="77777777" w:rsidR="00703566" w:rsidRPr="00703566" w:rsidRDefault="00703566" w:rsidP="00703566">
            <w:pPr>
              <w:spacing w:line="360" w:lineRule="auto"/>
              <w:jc w:val="center"/>
              <w:rPr>
                <w:rFonts w:ascii="Times New Roman" w:hAnsi="Times New Roman" w:cs="Times New Roman"/>
                <w:sz w:val="28"/>
                <w:szCs w:val="28"/>
              </w:rPr>
            </w:pPr>
          </w:p>
        </w:tc>
      </w:tr>
      <w:tr w:rsidR="00703566" w:rsidRPr="00703566" w14:paraId="13C0FAF4" w14:textId="77777777" w:rsidTr="008A6F48">
        <w:trPr>
          <w:jc w:val="center"/>
        </w:trPr>
        <w:tc>
          <w:tcPr>
            <w:tcW w:w="949" w:type="dxa"/>
          </w:tcPr>
          <w:p w14:paraId="6C2C33E9" w14:textId="77777777" w:rsidR="00703566" w:rsidRPr="00703566" w:rsidRDefault="00703566" w:rsidP="00703566">
            <w:pPr>
              <w:jc w:val="center"/>
              <w:rPr>
                <w:rFonts w:ascii="Times New Roman" w:hAnsi="Times New Roman" w:cs="Times New Roman"/>
                <w:sz w:val="28"/>
                <w:szCs w:val="28"/>
              </w:rPr>
            </w:pPr>
          </w:p>
          <w:p w14:paraId="76D04F87"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8</w:t>
            </w:r>
          </w:p>
        </w:tc>
        <w:tc>
          <w:tcPr>
            <w:tcW w:w="6095" w:type="dxa"/>
          </w:tcPr>
          <w:p w14:paraId="3087DED0" w14:textId="77777777" w:rsidR="00703566" w:rsidRPr="00703566" w:rsidRDefault="00703566" w:rsidP="00703566">
            <w:pPr>
              <w:jc w:val="center"/>
              <w:rPr>
                <w:rFonts w:ascii="Times New Roman" w:hAnsi="Times New Roman" w:cs="Times New Roman"/>
                <w:sz w:val="28"/>
                <w:szCs w:val="28"/>
              </w:rPr>
            </w:pPr>
          </w:p>
          <w:p w14:paraId="677B9346"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sz w:val="28"/>
                <w:szCs w:val="28"/>
              </w:rPr>
              <w:t>Nutritional Assessment During COVID-19</w:t>
            </w:r>
          </w:p>
        </w:tc>
        <w:tc>
          <w:tcPr>
            <w:tcW w:w="1466" w:type="dxa"/>
          </w:tcPr>
          <w:p w14:paraId="0ACDC9BC" w14:textId="77777777" w:rsidR="00703566" w:rsidRPr="00703566" w:rsidRDefault="00703566" w:rsidP="00703566">
            <w:pPr>
              <w:jc w:val="center"/>
              <w:rPr>
                <w:rFonts w:ascii="Times New Roman" w:hAnsi="Times New Roman" w:cs="Times New Roman"/>
                <w:sz w:val="28"/>
                <w:szCs w:val="28"/>
              </w:rPr>
            </w:pPr>
          </w:p>
        </w:tc>
      </w:tr>
      <w:tr w:rsidR="00703566" w:rsidRPr="00703566" w14:paraId="49B2BD81" w14:textId="77777777" w:rsidTr="008A6F48">
        <w:trPr>
          <w:jc w:val="center"/>
        </w:trPr>
        <w:tc>
          <w:tcPr>
            <w:tcW w:w="949" w:type="dxa"/>
          </w:tcPr>
          <w:p w14:paraId="6D682B52" w14:textId="77777777" w:rsidR="00703566" w:rsidRPr="00703566" w:rsidRDefault="00703566" w:rsidP="00703566">
            <w:pPr>
              <w:jc w:val="center"/>
              <w:rPr>
                <w:rFonts w:ascii="Times New Roman" w:hAnsi="Times New Roman" w:cs="Times New Roman"/>
                <w:sz w:val="28"/>
                <w:szCs w:val="28"/>
              </w:rPr>
            </w:pPr>
          </w:p>
          <w:p w14:paraId="5052C9F8"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9</w:t>
            </w:r>
          </w:p>
        </w:tc>
        <w:tc>
          <w:tcPr>
            <w:tcW w:w="6095" w:type="dxa"/>
          </w:tcPr>
          <w:p w14:paraId="131B1F90" w14:textId="77777777" w:rsidR="00703566" w:rsidRPr="00703566" w:rsidRDefault="00703566" w:rsidP="00703566">
            <w:pPr>
              <w:jc w:val="center"/>
              <w:rPr>
                <w:rFonts w:ascii="Times New Roman" w:hAnsi="Times New Roman" w:cs="Times New Roman"/>
                <w:sz w:val="28"/>
                <w:szCs w:val="28"/>
              </w:rPr>
            </w:pPr>
          </w:p>
          <w:p w14:paraId="1296A371"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sz w:val="28"/>
                <w:szCs w:val="28"/>
              </w:rPr>
              <w:t>Nutritional Assessment After COVID-19</w:t>
            </w:r>
          </w:p>
        </w:tc>
        <w:tc>
          <w:tcPr>
            <w:tcW w:w="1466" w:type="dxa"/>
          </w:tcPr>
          <w:p w14:paraId="3808EE82" w14:textId="77777777" w:rsidR="00703566" w:rsidRPr="00703566" w:rsidRDefault="00703566" w:rsidP="00703566">
            <w:pPr>
              <w:jc w:val="center"/>
              <w:rPr>
                <w:rFonts w:ascii="Times New Roman" w:hAnsi="Times New Roman" w:cs="Times New Roman"/>
                <w:sz w:val="28"/>
                <w:szCs w:val="28"/>
              </w:rPr>
            </w:pPr>
          </w:p>
        </w:tc>
      </w:tr>
      <w:tr w:rsidR="00703566" w:rsidRPr="00703566" w14:paraId="41AFD1B8" w14:textId="77777777" w:rsidTr="008A6F48">
        <w:trPr>
          <w:jc w:val="center"/>
        </w:trPr>
        <w:tc>
          <w:tcPr>
            <w:tcW w:w="949" w:type="dxa"/>
          </w:tcPr>
          <w:p w14:paraId="691CD441" w14:textId="77777777" w:rsidR="00703566" w:rsidRPr="00703566" w:rsidRDefault="00703566" w:rsidP="00703566">
            <w:pPr>
              <w:jc w:val="center"/>
              <w:rPr>
                <w:rFonts w:ascii="Times New Roman" w:hAnsi="Times New Roman" w:cs="Times New Roman"/>
                <w:sz w:val="28"/>
                <w:szCs w:val="28"/>
              </w:rPr>
            </w:pPr>
          </w:p>
          <w:p w14:paraId="1207AC04" w14:textId="77777777" w:rsidR="00703566" w:rsidRPr="00703566" w:rsidRDefault="00703566" w:rsidP="00703566">
            <w:pPr>
              <w:jc w:val="center"/>
              <w:rPr>
                <w:rFonts w:ascii="Times New Roman" w:hAnsi="Times New Roman" w:cs="Times New Roman"/>
                <w:sz w:val="28"/>
                <w:szCs w:val="28"/>
              </w:rPr>
            </w:pPr>
          </w:p>
          <w:p w14:paraId="4B5EC63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10</w:t>
            </w:r>
          </w:p>
        </w:tc>
        <w:tc>
          <w:tcPr>
            <w:tcW w:w="6095" w:type="dxa"/>
          </w:tcPr>
          <w:p w14:paraId="0DE7A8CB" w14:textId="77777777" w:rsidR="00703566" w:rsidRPr="00703566" w:rsidRDefault="00703566" w:rsidP="00703566">
            <w:pPr>
              <w:spacing w:line="480" w:lineRule="auto"/>
              <w:jc w:val="center"/>
              <w:rPr>
                <w:rFonts w:ascii="Times New Roman" w:hAnsi="Times New Roman" w:cs="Times New Roman"/>
                <w:sz w:val="28"/>
                <w:szCs w:val="28"/>
              </w:rPr>
            </w:pPr>
          </w:p>
          <w:p w14:paraId="0B4321AE" w14:textId="77777777" w:rsidR="00703566" w:rsidRPr="00703566" w:rsidRDefault="00703566" w:rsidP="00703566">
            <w:pPr>
              <w:spacing w:line="480" w:lineRule="auto"/>
              <w:jc w:val="center"/>
              <w:rPr>
                <w:rFonts w:ascii="Times New Roman" w:hAnsi="Times New Roman" w:cs="Times New Roman"/>
                <w:sz w:val="28"/>
                <w:szCs w:val="28"/>
              </w:rPr>
            </w:pPr>
            <w:r w:rsidRPr="00703566">
              <w:rPr>
                <w:rFonts w:ascii="Times New Roman" w:hAnsi="Times New Roman" w:cs="Times New Roman"/>
                <w:sz w:val="28"/>
                <w:szCs w:val="28"/>
              </w:rPr>
              <w:t>Appetite Among Target Group During Corona Virus Infection</w:t>
            </w:r>
          </w:p>
        </w:tc>
        <w:tc>
          <w:tcPr>
            <w:tcW w:w="1466" w:type="dxa"/>
          </w:tcPr>
          <w:p w14:paraId="296FD0F3" w14:textId="77777777" w:rsidR="00703566" w:rsidRPr="00703566" w:rsidRDefault="00703566" w:rsidP="00703566">
            <w:pPr>
              <w:jc w:val="center"/>
              <w:rPr>
                <w:rFonts w:ascii="Times New Roman" w:hAnsi="Times New Roman" w:cs="Times New Roman"/>
                <w:sz w:val="28"/>
                <w:szCs w:val="28"/>
              </w:rPr>
            </w:pPr>
          </w:p>
        </w:tc>
      </w:tr>
      <w:tr w:rsidR="00703566" w:rsidRPr="00703566" w14:paraId="2B551A3C" w14:textId="77777777" w:rsidTr="008A6F48">
        <w:trPr>
          <w:jc w:val="center"/>
        </w:trPr>
        <w:tc>
          <w:tcPr>
            <w:tcW w:w="949" w:type="dxa"/>
          </w:tcPr>
          <w:p w14:paraId="110D58B6" w14:textId="77777777" w:rsidR="00703566" w:rsidRPr="00703566" w:rsidRDefault="00703566" w:rsidP="00703566">
            <w:pPr>
              <w:jc w:val="center"/>
              <w:rPr>
                <w:rFonts w:ascii="Times New Roman" w:hAnsi="Times New Roman" w:cs="Times New Roman"/>
                <w:sz w:val="28"/>
                <w:szCs w:val="28"/>
              </w:rPr>
            </w:pPr>
          </w:p>
          <w:p w14:paraId="481101ED"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11</w:t>
            </w:r>
          </w:p>
        </w:tc>
        <w:tc>
          <w:tcPr>
            <w:tcW w:w="6095" w:type="dxa"/>
          </w:tcPr>
          <w:p w14:paraId="4F83C9B2" w14:textId="77777777" w:rsidR="00703566" w:rsidRPr="00703566" w:rsidRDefault="00703566" w:rsidP="00703566">
            <w:pPr>
              <w:jc w:val="center"/>
              <w:rPr>
                <w:rFonts w:ascii="Times New Roman" w:hAnsi="Times New Roman" w:cs="Times New Roman"/>
                <w:sz w:val="28"/>
                <w:szCs w:val="28"/>
              </w:rPr>
            </w:pPr>
          </w:p>
          <w:p w14:paraId="0DDDA163"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Eating Disorders of Samples</w:t>
            </w:r>
          </w:p>
        </w:tc>
        <w:tc>
          <w:tcPr>
            <w:tcW w:w="1466" w:type="dxa"/>
          </w:tcPr>
          <w:p w14:paraId="0A84FFC7" w14:textId="77777777" w:rsidR="00703566" w:rsidRPr="00703566" w:rsidRDefault="00703566" w:rsidP="00703566">
            <w:pPr>
              <w:jc w:val="center"/>
              <w:rPr>
                <w:rFonts w:ascii="Times New Roman" w:hAnsi="Times New Roman" w:cs="Times New Roman"/>
                <w:sz w:val="28"/>
                <w:szCs w:val="28"/>
              </w:rPr>
            </w:pPr>
          </w:p>
        </w:tc>
      </w:tr>
      <w:tr w:rsidR="00703566" w:rsidRPr="00703566" w14:paraId="6E762F9C" w14:textId="77777777" w:rsidTr="008A6F48">
        <w:trPr>
          <w:jc w:val="center"/>
        </w:trPr>
        <w:tc>
          <w:tcPr>
            <w:tcW w:w="949" w:type="dxa"/>
          </w:tcPr>
          <w:p w14:paraId="7ADC3853" w14:textId="77777777" w:rsidR="00703566" w:rsidRPr="00703566" w:rsidRDefault="00703566" w:rsidP="00703566">
            <w:pPr>
              <w:rPr>
                <w:rFonts w:ascii="Times New Roman" w:hAnsi="Times New Roman" w:cs="Times New Roman"/>
                <w:sz w:val="28"/>
                <w:szCs w:val="28"/>
              </w:rPr>
            </w:pPr>
          </w:p>
          <w:p w14:paraId="6D69C1C2"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12</w:t>
            </w:r>
          </w:p>
        </w:tc>
        <w:tc>
          <w:tcPr>
            <w:tcW w:w="6095" w:type="dxa"/>
          </w:tcPr>
          <w:p w14:paraId="0D3B2831" w14:textId="77777777" w:rsidR="00703566" w:rsidRPr="00703566" w:rsidRDefault="00703566" w:rsidP="00703566">
            <w:pPr>
              <w:jc w:val="center"/>
              <w:rPr>
                <w:rFonts w:ascii="Times New Roman" w:hAnsi="Times New Roman" w:cs="Times New Roman"/>
                <w:sz w:val="28"/>
                <w:szCs w:val="28"/>
              </w:rPr>
            </w:pPr>
          </w:p>
          <w:p w14:paraId="318184E4"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Dietary intake of Samples During COVID-19</w:t>
            </w:r>
          </w:p>
        </w:tc>
        <w:tc>
          <w:tcPr>
            <w:tcW w:w="1466" w:type="dxa"/>
          </w:tcPr>
          <w:p w14:paraId="50D3F54B" w14:textId="77777777" w:rsidR="00703566" w:rsidRPr="00703566" w:rsidRDefault="00703566" w:rsidP="00703566">
            <w:pPr>
              <w:jc w:val="center"/>
              <w:rPr>
                <w:rFonts w:ascii="Times New Roman" w:hAnsi="Times New Roman" w:cs="Times New Roman"/>
                <w:sz w:val="28"/>
                <w:szCs w:val="28"/>
              </w:rPr>
            </w:pPr>
          </w:p>
        </w:tc>
      </w:tr>
      <w:tr w:rsidR="00703566" w:rsidRPr="00703566" w14:paraId="6BCEF2E4" w14:textId="77777777" w:rsidTr="008A6F48">
        <w:trPr>
          <w:jc w:val="center"/>
        </w:trPr>
        <w:tc>
          <w:tcPr>
            <w:tcW w:w="949" w:type="dxa"/>
          </w:tcPr>
          <w:p w14:paraId="470D6D0E" w14:textId="77777777" w:rsidR="00703566" w:rsidRPr="00703566" w:rsidRDefault="00703566" w:rsidP="00703566">
            <w:pPr>
              <w:jc w:val="center"/>
              <w:rPr>
                <w:rFonts w:ascii="Times New Roman" w:hAnsi="Times New Roman" w:cs="Times New Roman"/>
                <w:sz w:val="28"/>
                <w:szCs w:val="28"/>
              </w:rPr>
            </w:pPr>
          </w:p>
          <w:p w14:paraId="691D95D0"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13</w:t>
            </w:r>
          </w:p>
        </w:tc>
        <w:tc>
          <w:tcPr>
            <w:tcW w:w="6095" w:type="dxa"/>
          </w:tcPr>
          <w:p w14:paraId="2F0943B3" w14:textId="77777777" w:rsidR="00703566" w:rsidRPr="00703566" w:rsidRDefault="00703566" w:rsidP="00703566">
            <w:pPr>
              <w:jc w:val="center"/>
              <w:rPr>
                <w:rFonts w:ascii="Times New Roman" w:hAnsi="Times New Roman" w:cs="Times New Roman"/>
                <w:sz w:val="28"/>
                <w:szCs w:val="28"/>
              </w:rPr>
            </w:pPr>
          </w:p>
          <w:p w14:paraId="1176FC87"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Dietary intake of Samples After COVID-19</w:t>
            </w:r>
          </w:p>
        </w:tc>
        <w:tc>
          <w:tcPr>
            <w:tcW w:w="1466" w:type="dxa"/>
          </w:tcPr>
          <w:p w14:paraId="1CC279FF" w14:textId="77777777" w:rsidR="00703566" w:rsidRPr="00703566" w:rsidRDefault="00703566" w:rsidP="00703566">
            <w:pPr>
              <w:jc w:val="center"/>
              <w:rPr>
                <w:rFonts w:ascii="Times New Roman" w:hAnsi="Times New Roman" w:cs="Times New Roman"/>
                <w:sz w:val="28"/>
                <w:szCs w:val="28"/>
              </w:rPr>
            </w:pPr>
          </w:p>
        </w:tc>
      </w:tr>
      <w:tr w:rsidR="00703566" w:rsidRPr="00703566" w14:paraId="3A99F3B0" w14:textId="77777777" w:rsidTr="008A6F48">
        <w:trPr>
          <w:jc w:val="center"/>
        </w:trPr>
        <w:tc>
          <w:tcPr>
            <w:tcW w:w="949" w:type="dxa"/>
          </w:tcPr>
          <w:p w14:paraId="7D490B10" w14:textId="77777777" w:rsidR="00703566" w:rsidRPr="00703566" w:rsidRDefault="00703566" w:rsidP="00703566">
            <w:pPr>
              <w:jc w:val="center"/>
              <w:rPr>
                <w:rFonts w:ascii="Times New Roman" w:hAnsi="Times New Roman" w:cs="Times New Roman"/>
                <w:sz w:val="28"/>
                <w:szCs w:val="28"/>
              </w:rPr>
            </w:pPr>
          </w:p>
          <w:p w14:paraId="763A56ED"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lastRenderedPageBreak/>
              <w:t>14</w:t>
            </w:r>
          </w:p>
        </w:tc>
        <w:tc>
          <w:tcPr>
            <w:tcW w:w="6095" w:type="dxa"/>
          </w:tcPr>
          <w:p w14:paraId="3725B484" w14:textId="77777777" w:rsidR="00703566" w:rsidRPr="00703566" w:rsidRDefault="00703566" w:rsidP="00703566">
            <w:pPr>
              <w:jc w:val="center"/>
              <w:rPr>
                <w:rFonts w:ascii="Times New Roman" w:hAnsi="Times New Roman" w:cs="Times New Roman"/>
                <w:sz w:val="28"/>
                <w:szCs w:val="28"/>
              </w:rPr>
            </w:pPr>
          </w:p>
          <w:p w14:paraId="3C8AED84"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lastRenderedPageBreak/>
              <w:t xml:space="preserve">Stress Among Geriatric Population During COVID19 Infection </w:t>
            </w:r>
          </w:p>
        </w:tc>
        <w:tc>
          <w:tcPr>
            <w:tcW w:w="1466" w:type="dxa"/>
          </w:tcPr>
          <w:p w14:paraId="38C6B852" w14:textId="77777777" w:rsidR="00703566" w:rsidRPr="00703566" w:rsidRDefault="00703566" w:rsidP="00703566">
            <w:pPr>
              <w:jc w:val="center"/>
              <w:rPr>
                <w:rFonts w:ascii="Times New Roman" w:hAnsi="Times New Roman" w:cs="Times New Roman"/>
                <w:sz w:val="28"/>
                <w:szCs w:val="28"/>
              </w:rPr>
            </w:pPr>
          </w:p>
        </w:tc>
      </w:tr>
      <w:tr w:rsidR="00703566" w:rsidRPr="00703566" w14:paraId="115CDA99" w14:textId="77777777" w:rsidTr="008A6F48">
        <w:trPr>
          <w:jc w:val="center"/>
        </w:trPr>
        <w:tc>
          <w:tcPr>
            <w:tcW w:w="949" w:type="dxa"/>
          </w:tcPr>
          <w:p w14:paraId="3F266EDE" w14:textId="77777777" w:rsidR="00703566" w:rsidRPr="00703566" w:rsidRDefault="00703566" w:rsidP="00703566">
            <w:pPr>
              <w:jc w:val="center"/>
              <w:rPr>
                <w:rFonts w:ascii="Times New Roman" w:hAnsi="Times New Roman" w:cs="Times New Roman"/>
                <w:sz w:val="28"/>
                <w:szCs w:val="28"/>
              </w:rPr>
            </w:pPr>
          </w:p>
          <w:p w14:paraId="407822E0"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15</w:t>
            </w:r>
          </w:p>
        </w:tc>
        <w:tc>
          <w:tcPr>
            <w:tcW w:w="6095" w:type="dxa"/>
          </w:tcPr>
          <w:p w14:paraId="5BDEB840" w14:textId="77777777" w:rsidR="00703566" w:rsidRPr="00703566" w:rsidRDefault="00703566" w:rsidP="00703566">
            <w:pPr>
              <w:jc w:val="center"/>
              <w:rPr>
                <w:rFonts w:ascii="Times New Roman" w:hAnsi="Times New Roman" w:cs="Times New Roman"/>
                <w:sz w:val="28"/>
                <w:szCs w:val="28"/>
              </w:rPr>
            </w:pPr>
          </w:p>
          <w:p w14:paraId="0A4F5707"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Depression Among Geriatric Population During COVID19 Infection</w:t>
            </w:r>
          </w:p>
        </w:tc>
        <w:tc>
          <w:tcPr>
            <w:tcW w:w="1466" w:type="dxa"/>
          </w:tcPr>
          <w:p w14:paraId="20CA70FA" w14:textId="77777777" w:rsidR="00703566" w:rsidRPr="00703566" w:rsidRDefault="00703566" w:rsidP="00703566">
            <w:pPr>
              <w:jc w:val="center"/>
              <w:rPr>
                <w:rFonts w:ascii="Times New Roman" w:hAnsi="Times New Roman" w:cs="Times New Roman"/>
                <w:sz w:val="28"/>
                <w:szCs w:val="28"/>
              </w:rPr>
            </w:pPr>
          </w:p>
        </w:tc>
      </w:tr>
      <w:tr w:rsidR="00703566" w:rsidRPr="00703566" w14:paraId="35111A49" w14:textId="77777777" w:rsidTr="008A6F48">
        <w:trPr>
          <w:jc w:val="center"/>
        </w:trPr>
        <w:tc>
          <w:tcPr>
            <w:tcW w:w="949" w:type="dxa"/>
          </w:tcPr>
          <w:p w14:paraId="323AE6C4" w14:textId="77777777" w:rsidR="00703566" w:rsidRPr="00703566" w:rsidRDefault="00703566" w:rsidP="00703566">
            <w:pPr>
              <w:jc w:val="center"/>
              <w:rPr>
                <w:rFonts w:ascii="Times New Roman" w:hAnsi="Times New Roman" w:cs="Times New Roman"/>
                <w:sz w:val="28"/>
                <w:szCs w:val="28"/>
              </w:rPr>
            </w:pPr>
          </w:p>
          <w:p w14:paraId="18B3B61C"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16</w:t>
            </w:r>
          </w:p>
        </w:tc>
        <w:tc>
          <w:tcPr>
            <w:tcW w:w="6095" w:type="dxa"/>
          </w:tcPr>
          <w:p w14:paraId="415E1FE5" w14:textId="77777777" w:rsidR="00703566" w:rsidRPr="00703566" w:rsidRDefault="00703566" w:rsidP="00703566">
            <w:pPr>
              <w:jc w:val="center"/>
              <w:rPr>
                <w:rFonts w:ascii="Times New Roman" w:hAnsi="Times New Roman" w:cs="Times New Roman"/>
                <w:sz w:val="28"/>
                <w:szCs w:val="28"/>
              </w:rPr>
            </w:pPr>
          </w:p>
          <w:p w14:paraId="52FA7838"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sz w:val="28"/>
                <w:szCs w:val="28"/>
              </w:rPr>
              <w:t>Anxiety Among Geriatric Population During COVID19 Infection</w:t>
            </w:r>
          </w:p>
        </w:tc>
        <w:tc>
          <w:tcPr>
            <w:tcW w:w="1466" w:type="dxa"/>
          </w:tcPr>
          <w:p w14:paraId="6DE2E8FD" w14:textId="77777777" w:rsidR="00703566" w:rsidRPr="00703566" w:rsidRDefault="00703566" w:rsidP="00703566">
            <w:pPr>
              <w:jc w:val="center"/>
              <w:rPr>
                <w:rFonts w:ascii="Times New Roman" w:hAnsi="Times New Roman" w:cs="Times New Roman"/>
                <w:sz w:val="28"/>
                <w:szCs w:val="28"/>
              </w:rPr>
            </w:pPr>
          </w:p>
        </w:tc>
      </w:tr>
    </w:tbl>
    <w:p w14:paraId="6C2A3D68"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2B82A549"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4E0BA794"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3028AC3D"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236460FA"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5CE90EDE"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73EC2F64"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46E2F9E0"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0C98EB9B"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61935BFE"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6D3D1270"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5AF9337E"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25395CB1"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24A5A5B4"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01D2B519"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0B7A373C"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6AA5A049"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r w:rsidRPr="00703566">
        <w:rPr>
          <w:rFonts w:ascii="Times New Roman" w:eastAsia="Calibri" w:hAnsi="Times New Roman" w:cs="Times New Roman"/>
          <w:b/>
          <w:sz w:val="28"/>
          <w:szCs w:val="28"/>
          <w:lang w:val="en-US"/>
        </w:rPr>
        <w:lastRenderedPageBreak/>
        <w:t>LIST OF FIGURES</w:t>
      </w:r>
    </w:p>
    <w:tbl>
      <w:tblPr>
        <w:tblStyle w:val="TableGrid"/>
        <w:tblW w:w="0" w:type="auto"/>
        <w:jc w:val="center"/>
        <w:tblLook w:val="04A0" w:firstRow="1" w:lastRow="0" w:firstColumn="1" w:lastColumn="0" w:noHBand="0" w:noVBand="1"/>
      </w:tblPr>
      <w:tblGrid>
        <w:gridCol w:w="1511"/>
        <w:gridCol w:w="5387"/>
        <w:gridCol w:w="1465"/>
      </w:tblGrid>
      <w:tr w:rsidR="00703566" w:rsidRPr="00703566" w14:paraId="7866AF68" w14:textId="77777777" w:rsidTr="008A6F48">
        <w:trPr>
          <w:jc w:val="center"/>
        </w:trPr>
        <w:tc>
          <w:tcPr>
            <w:tcW w:w="1511" w:type="dxa"/>
          </w:tcPr>
          <w:p w14:paraId="6F02F6C9" w14:textId="77777777" w:rsidR="00703566" w:rsidRPr="00703566" w:rsidRDefault="00703566" w:rsidP="00703566">
            <w:pPr>
              <w:jc w:val="center"/>
              <w:rPr>
                <w:rFonts w:ascii="Times New Roman" w:hAnsi="Times New Roman" w:cs="Times New Roman"/>
                <w:b/>
                <w:sz w:val="28"/>
                <w:szCs w:val="28"/>
              </w:rPr>
            </w:pPr>
          </w:p>
          <w:p w14:paraId="5FC26B9D"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Sl. No.</w:t>
            </w:r>
          </w:p>
          <w:p w14:paraId="40A743C5" w14:textId="77777777" w:rsidR="00703566" w:rsidRPr="00703566" w:rsidRDefault="00703566" w:rsidP="00703566">
            <w:pPr>
              <w:jc w:val="center"/>
              <w:rPr>
                <w:rFonts w:ascii="Times New Roman" w:hAnsi="Times New Roman" w:cs="Times New Roman"/>
                <w:b/>
                <w:sz w:val="28"/>
                <w:szCs w:val="28"/>
              </w:rPr>
            </w:pPr>
          </w:p>
        </w:tc>
        <w:tc>
          <w:tcPr>
            <w:tcW w:w="5387" w:type="dxa"/>
          </w:tcPr>
          <w:p w14:paraId="6BDFBF52" w14:textId="77777777" w:rsidR="00703566" w:rsidRPr="00703566" w:rsidRDefault="00703566" w:rsidP="00703566">
            <w:pPr>
              <w:jc w:val="center"/>
              <w:rPr>
                <w:rFonts w:ascii="Times New Roman" w:hAnsi="Times New Roman" w:cs="Times New Roman"/>
                <w:b/>
                <w:sz w:val="28"/>
                <w:szCs w:val="28"/>
              </w:rPr>
            </w:pPr>
          </w:p>
          <w:p w14:paraId="01BB9611"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Title</w:t>
            </w:r>
          </w:p>
        </w:tc>
        <w:tc>
          <w:tcPr>
            <w:tcW w:w="1465" w:type="dxa"/>
          </w:tcPr>
          <w:p w14:paraId="1478C599" w14:textId="77777777" w:rsidR="00703566" w:rsidRPr="00703566" w:rsidRDefault="00703566" w:rsidP="00703566">
            <w:pPr>
              <w:jc w:val="center"/>
              <w:rPr>
                <w:rFonts w:ascii="Times New Roman" w:hAnsi="Times New Roman" w:cs="Times New Roman"/>
                <w:b/>
                <w:sz w:val="28"/>
                <w:szCs w:val="28"/>
              </w:rPr>
            </w:pPr>
          </w:p>
          <w:p w14:paraId="784133A1"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Page No.</w:t>
            </w:r>
          </w:p>
        </w:tc>
      </w:tr>
      <w:tr w:rsidR="00703566" w:rsidRPr="00703566" w14:paraId="1DD4E5A0" w14:textId="77777777" w:rsidTr="008A6F48">
        <w:trPr>
          <w:jc w:val="center"/>
        </w:trPr>
        <w:tc>
          <w:tcPr>
            <w:tcW w:w="1511" w:type="dxa"/>
          </w:tcPr>
          <w:p w14:paraId="166415CE" w14:textId="77777777" w:rsidR="00703566" w:rsidRPr="00703566" w:rsidRDefault="00703566" w:rsidP="00703566">
            <w:pPr>
              <w:jc w:val="center"/>
              <w:rPr>
                <w:rFonts w:ascii="Times New Roman" w:hAnsi="Times New Roman" w:cs="Times New Roman"/>
                <w:sz w:val="28"/>
                <w:szCs w:val="28"/>
              </w:rPr>
            </w:pPr>
          </w:p>
          <w:p w14:paraId="18A53E67"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w:t>
            </w:r>
          </w:p>
        </w:tc>
        <w:tc>
          <w:tcPr>
            <w:tcW w:w="5387" w:type="dxa"/>
          </w:tcPr>
          <w:p w14:paraId="1657C299" w14:textId="77777777" w:rsidR="00703566" w:rsidRPr="00703566" w:rsidRDefault="00703566" w:rsidP="00703566">
            <w:pPr>
              <w:jc w:val="center"/>
              <w:rPr>
                <w:rFonts w:ascii="Times New Roman" w:hAnsi="Times New Roman" w:cs="Times New Roman"/>
                <w:sz w:val="28"/>
                <w:szCs w:val="28"/>
              </w:rPr>
            </w:pPr>
          </w:p>
          <w:p w14:paraId="3FD11E81"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Overview of Cherthala thaluk</w:t>
            </w:r>
          </w:p>
        </w:tc>
        <w:tc>
          <w:tcPr>
            <w:tcW w:w="1465" w:type="dxa"/>
          </w:tcPr>
          <w:p w14:paraId="548C1A2C" w14:textId="77777777" w:rsidR="00703566" w:rsidRPr="00703566" w:rsidRDefault="00703566" w:rsidP="00703566">
            <w:pPr>
              <w:rPr>
                <w:rFonts w:ascii="Times New Roman" w:hAnsi="Times New Roman" w:cs="Times New Roman"/>
                <w:sz w:val="28"/>
                <w:szCs w:val="28"/>
              </w:rPr>
            </w:pPr>
          </w:p>
        </w:tc>
      </w:tr>
      <w:tr w:rsidR="00703566" w:rsidRPr="00703566" w14:paraId="1949BBB6" w14:textId="77777777" w:rsidTr="008A6F48">
        <w:trPr>
          <w:jc w:val="center"/>
        </w:trPr>
        <w:tc>
          <w:tcPr>
            <w:tcW w:w="1511" w:type="dxa"/>
          </w:tcPr>
          <w:p w14:paraId="0B79E439" w14:textId="77777777" w:rsidR="00703566" w:rsidRPr="00703566" w:rsidRDefault="00703566" w:rsidP="00703566">
            <w:pPr>
              <w:jc w:val="center"/>
              <w:rPr>
                <w:rFonts w:ascii="Times New Roman" w:hAnsi="Times New Roman" w:cs="Times New Roman"/>
                <w:sz w:val="28"/>
                <w:szCs w:val="28"/>
              </w:rPr>
            </w:pPr>
          </w:p>
          <w:p w14:paraId="5E3521E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2</w:t>
            </w:r>
          </w:p>
        </w:tc>
        <w:tc>
          <w:tcPr>
            <w:tcW w:w="5387" w:type="dxa"/>
          </w:tcPr>
          <w:p w14:paraId="37630B97" w14:textId="77777777" w:rsidR="00703566" w:rsidRPr="00703566" w:rsidRDefault="00703566" w:rsidP="00703566">
            <w:pPr>
              <w:jc w:val="center"/>
              <w:rPr>
                <w:rFonts w:ascii="Times New Roman" w:hAnsi="Times New Roman" w:cs="Times New Roman"/>
                <w:sz w:val="28"/>
                <w:szCs w:val="28"/>
              </w:rPr>
            </w:pPr>
          </w:p>
          <w:p w14:paraId="6DC063D0"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Age wise Distribution of Samples</w:t>
            </w:r>
          </w:p>
        </w:tc>
        <w:tc>
          <w:tcPr>
            <w:tcW w:w="1465" w:type="dxa"/>
          </w:tcPr>
          <w:p w14:paraId="08C2191A" w14:textId="77777777" w:rsidR="00703566" w:rsidRPr="00703566" w:rsidRDefault="00703566" w:rsidP="00703566">
            <w:pPr>
              <w:rPr>
                <w:rFonts w:ascii="Times New Roman" w:hAnsi="Times New Roman" w:cs="Times New Roman"/>
                <w:sz w:val="28"/>
                <w:szCs w:val="28"/>
              </w:rPr>
            </w:pPr>
          </w:p>
        </w:tc>
      </w:tr>
      <w:tr w:rsidR="00703566" w:rsidRPr="00703566" w14:paraId="63DAE0B6" w14:textId="77777777" w:rsidTr="008A6F48">
        <w:trPr>
          <w:jc w:val="center"/>
        </w:trPr>
        <w:tc>
          <w:tcPr>
            <w:tcW w:w="1511" w:type="dxa"/>
          </w:tcPr>
          <w:p w14:paraId="3CB2F09C" w14:textId="77777777" w:rsidR="00703566" w:rsidRPr="00703566" w:rsidRDefault="00703566" w:rsidP="00703566">
            <w:pPr>
              <w:jc w:val="center"/>
              <w:rPr>
                <w:rFonts w:ascii="Times New Roman" w:hAnsi="Times New Roman" w:cs="Times New Roman"/>
                <w:sz w:val="28"/>
                <w:szCs w:val="28"/>
              </w:rPr>
            </w:pPr>
          </w:p>
          <w:p w14:paraId="37C5730E"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3</w:t>
            </w:r>
          </w:p>
        </w:tc>
        <w:tc>
          <w:tcPr>
            <w:tcW w:w="5387" w:type="dxa"/>
          </w:tcPr>
          <w:p w14:paraId="2CDBA685" w14:textId="77777777" w:rsidR="00703566" w:rsidRPr="00703566" w:rsidRDefault="00703566" w:rsidP="00703566">
            <w:pPr>
              <w:jc w:val="center"/>
              <w:rPr>
                <w:rFonts w:ascii="Times New Roman" w:hAnsi="Times New Roman" w:cs="Times New Roman"/>
                <w:sz w:val="28"/>
                <w:szCs w:val="28"/>
              </w:rPr>
            </w:pPr>
          </w:p>
          <w:p w14:paraId="01900C45" w14:textId="77777777" w:rsidR="00703566" w:rsidRPr="00703566" w:rsidRDefault="00703566" w:rsidP="00703566">
            <w:pPr>
              <w:spacing w:line="360" w:lineRule="auto"/>
              <w:rPr>
                <w:rFonts w:ascii="Times New Roman" w:hAnsi="Times New Roman" w:cs="Times New Roman"/>
                <w:sz w:val="28"/>
                <w:szCs w:val="28"/>
              </w:rPr>
            </w:pPr>
            <w:r w:rsidRPr="00703566">
              <w:rPr>
                <w:rFonts w:ascii="Times New Roman" w:hAnsi="Times New Roman" w:cs="Times New Roman"/>
                <w:sz w:val="28"/>
                <w:szCs w:val="28"/>
              </w:rPr>
              <w:t xml:space="preserve">         Family Size of the Target Samples</w:t>
            </w:r>
          </w:p>
        </w:tc>
        <w:tc>
          <w:tcPr>
            <w:tcW w:w="1465" w:type="dxa"/>
          </w:tcPr>
          <w:p w14:paraId="0E335F47" w14:textId="77777777" w:rsidR="00703566" w:rsidRPr="00703566" w:rsidRDefault="00703566" w:rsidP="00703566">
            <w:pPr>
              <w:rPr>
                <w:rFonts w:ascii="Times New Roman" w:hAnsi="Times New Roman" w:cs="Times New Roman"/>
                <w:sz w:val="28"/>
                <w:szCs w:val="28"/>
              </w:rPr>
            </w:pPr>
          </w:p>
        </w:tc>
      </w:tr>
      <w:tr w:rsidR="00703566" w:rsidRPr="00703566" w14:paraId="5E5CA8B8" w14:textId="77777777" w:rsidTr="008A6F48">
        <w:trPr>
          <w:jc w:val="center"/>
        </w:trPr>
        <w:tc>
          <w:tcPr>
            <w:tcW w:w="1511" w:type="dxa"/>
          </w:tcPr>
          <w:p w14:paraId="5EEB9B1E" w14:textId="77777777" w:rsidR="00703566" w:rsidRPr="00703566" w:rsidRDefault="00703566" w:rsidP="00703566">
            <w:pPr>
              <w:jc w:val="center"/>
              <w:rPr>
                <w:rFonts w:ascii="Times New Roman" w:hAnsi="Times New Roman" w:cs="Times New Roman"/>
                <w:sz w:val="28"/>
                <w:szCs w:val="28"/>
              </w:rPr>
            </w:pPr>
          </w:p>
          <w:p w14:paraId="0FAAACC3"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4</w:t>
            </w:r>
          </w:p>
        </w:tc>
        <w:tc>
          <w:tcPr>
            <w:tcW w:w="5387" w:type="dxa"/>
          </w:tcPr>
          <w:p w14:paraId="21B266AB" w14:textId="77777777" w:rsidR="00703566" w:rsidRPr="00703566" w:rsidRDefault="00703566" w:rsidP="00703566">
            <w:pPr>
              <w:jc w:val="center"/>
              <w:rPr>
                <w:rFonts w:ascii="Times New Roman" w:hAnsi="Times New Roman" w:cs="Times New Roman"/>
                <w:sz w:val="28"/>
                <w:szCs w:val="28"/>
              </w:rPr>
            </w:pPr>
          </w:p>
          <w:p w14:paraId="54197FF1"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sz w:val="28"/>
                <w:szCs w:val="28"/>
              </w:rPr>
              <w:t>Marital Status of Samples</w:t>
            </w:r>
          </w:p>
        </w:tc>
        <w:tc>
          <w:tcPr>
            <w:tcW w:w="1465" w:type="dxa"/>
          </w:tcPr>
          <w:p w14:paraId="714E27E0" w14:textId="77777777" w:rsidR="00703566" w:rsidRPr="00703566" w:rsidRDefault="00703566" w:rsidP="00703566">
            <w:pPr>
              <w:rPr>
                <w:rFonts w:ascii="Times New Roman" w:hAnsi="Times New Roman" w:cs="Times New Roman"/>
                <w:sz w:val="28"/>
                <w:szCs w:val="28"/>
              </w:rPr>
            </w:pPr>
          </w:p>
        </w:tc>
      </w:tr>
      <w:tr w:rsidR="00703566" w:rsidRPr="00703566" w14:paraId="76ACD13B" w14:textId="77777777" w:rsidTr="008A6F48">
        <w:trPr>
          <w:jc w:val="center"/>
        </w:trPr>
        <w:tc>
          <w:tcPr>
            <w:tcW w:w="1511" w:type="dxa"/>
          </w:tcPr>
          <w:p w14:paraId="23C18DDC" w14:textId="77777777" w:rsidR="00703566" w:rsidRPr="00703566" w:rsidRDefault="00703566" w:rsidP="00703566">
            <w:pPr>
              <w:jc w:val="center"/>
              <w:rPr>
                <w:rFonts w:ascii="Times New Roman" w:hAnsi="Times New Roman" w:cs="Times New Roman"/>
                <w:sz w:val="28"/>
                <w:szCs w:val="28"/>
              </w:rPr>
            </w:pPr>
          </w:p>
          <w:p w14:paraId="536C03C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5</w:t>
            </w:r>
          </w:p>
        </w:tc>
        <w:tc>
          <w:tcPr>
            <w:tcW w:w="5387" w:type="dxa"/>
          </w:tcPr>
          <w:p w14:paraId="71DA5889" w14:textId="77777777" w:rsidR="00703566" w:rsidRPr="00703566" w:rsidRDefault="00703566" w:rsidP="00703566">
            <w:pPr>
              <w:ind w:left="862"/>
              <w:contextualSpacing/>
              <w:jc w:val="center"/>
              <w:rPr>
                <w:rFonts w:ascii="Times New Roman" w:hAnsi="Times New Roman" w:cs="Times New Roman"/>
                <w:sz w:val="28"/>
                <w:szCs w:val="28"/>
              </w:rPr>
            </w:pPr>
          </w:p>
          <w:p w14:paraId="60837F25"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Frequency of occupational morbidities</w:t>
            </w:r>
          </w:p>
          <w:p w14:paraId="2FB1A68E" w14:textId="77777777" w:rsidR="00703566" w:rsidRPr="00703566" w:rsidRDefault="00703566" w:rsidP="00703566">
            <w:pPr>
              <w:jc w:val="center"/>
              <w:rPr>
                <w:rFonts w:ascii="Times New Roman" w:hAnsi="Times New Roman" w:cs="Times New Roman"/>
                <w:sz w:val="28"/>
                <w:szCs w:val="28"/>
              </w:rPr>
            </w:pPr>
          </w:p>
        </w:tc>
        <w:tc>
          <w:tcPr>
            <w:tcW w:w="1465" w:type="dxa"/>
          </w:tcPr>
          <w:p w14:paraId="4D4F4F94" w14:textId="77777777" w:rsidR="00703566" w:rsidRPr="00703566" w:rsidRDefault="00703566" w:rsidP="00703566">
            <w:pPr>
              <w:rPr>
                <w:rFonts w:ascii="Times New Roman" w:hAnsi="Times New Roman" w:cs="Times New Roman"/>
                <w:sz w:val="28"/>
                <w:szCs w:val="28"/>
              </w:rPr>
            </w:pPr>
          </w:p>
        </w:tc>
      </w:tr>
      <w:tr w:rsidR="00703566" w:rsidRPr="00703566" w14:paraId="4350E007" w14:textId="77777777" w:rsidTr="008A6F48">
        <w:trPr>
          <w:trHeight w:val="1363"/>
          <w:jc w:val="center"/>
        </w:trPr>
        <w:tc>
          <w:tcPr>
            <w:tcW w:w="1511" w:type="dxa"/>
          </w:tcPr>
          <w:p w14:paraId="5EE3B6EC" w14:textId="77777777" w:rsidR="00703566" w:rsidRPr="00703566" w:rsidRDefault="00703566" w:rsidP="00703566">
            <w:pPr>
              <w:jc w:val="center"/>
              <w:rPr>
                <w:rFonts w:ascii="Times New Roman" w:hAnsi="Times New Roman" w:cs="Times New Roman"/>
                <w:sz w:val="28"/>
                <w:szCs w:val="28"/>
              </w:rPr>
            </w:pPr>
          </w:p>
          <w:p w14:paraId="60ED6A8D"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6</w:t>
            </w:r>
          </w:p>
        </w:tc>
        <w:tc>
          <w:tcPr>
            <w:tcW w:w="5387" w:type="dxa"/>
          </w:tcPr>
          <w:p w14:paraId="0F1D95DE" w14:textId="77777777" w:rsidR="00703566" w:rsidRPr="00703566" w:rsidRDefault="00703566" w:rsidP="00703566">
            <w:pPr>
              <w:ind w:left="360"/>
              <w:contextualSpacing/>
              <w:jc w:val="center"/>
              <w:rPr>
                <w:rFonts w:ascii="Times New Roman" w:hAnsi="Times New Roman" w:cs="Times New Roman"/>
                <w:sz w:val="28"/>
                <w:szCs w:val="28"/>
              </w:rPr>
            </w:pPr>
          </w:p>
          <w:p w14:paraId="7D0B15AD" w14:textId="77777777" w:rsidR="00703566" w:rsidRPr="00703566" w:rsidRDefault="00703566" w:rsidP="00703566">
            <w:pPr>
              <w:spacing w:line="360" w:lineRule="auto"/>
              <w:jc w:val="center"/>
              <w:rPr>
                <w:rFonts w:ascii="Times New Roman" w:hAnsi="Times New Roman" w:cs="Times New Roman"/>
                <w:sz w:val="28"/>
                <w:szCs w:val="28"/>
              </w:rPr>
            </w:pPr>
            <w:r w:rsidRPr="00703566">
              <w:rPr>
                <w:rFonts w:ascii="Times New Roman" w:hAnsi="Times New Roman" w:cs="Times New Roman"/>
                <w:sz w:val="28"/>
                <w:szCs w:val="28"/>
              </w:rPr>
              <w:t>Occupation of Elders</w:t>
            </w:r>
          </w:p>
        </w:tc>
        <w:tc>
          <w:tcPr>
            <w:tcW w:w="1465" w:type="dxa"/>
          </w:tcPr>
          <w:p w14:paraId="2D4B783F" w14:textId="77777777" w:rsidR="00703566" w:rsidRPr="00703566" w:rsidRDefault="00703566" w:rsidP="00703566">
            <w:pPr>
              <w:rPr>
                <w:rFonts w:ascii="Times New Roman" w:hAnsi="Times New Roman" w:cs="Times New Roman"/>
                <w:sz w:val="28"/>
                <w:szCs w:val="28"/>
              </w:rPr>
            </w:pPr>
          </w:p>
        </w:tc>
      </w:tr>
      <w:tr w:rsidR="00703566" w:rsidRPr="00703566" w14:paraId="3BC90AA5" w14:textId="77777777" w:rsidTr="008A6F48">
        <w:trPr>
          <w:trHeight w:val="1363"/>
          <w:jc w:val="center"/>
        </w:trPr>
        <w:tc>
          <w:tcPr>
            <w:tcW w:w="1511" w:type="dxa"/>
          </w:tcPr>
          <w:p w14:paraId="10AF4FE7" w14:textId="77777777" w:rsidR="00703566" w:rsidRPr="00703566" w:rsidRDefault="00703566" w:rsidP="00703566">
            <w:pPr>
              <w:jc w:val="center"/>
              <w:rPr>
                <w:rFonts w:ascii="Times New Roman" w:hAnsi="Times New Roman" w:cs="Times New Roman"/>
                <w:sz w:val="28"/>
                <w:szCs w:val="28"/>
              </w:rPr>
            </w:pPr>
          </w:p>
          <w:p w14:paraId="3098FEDA"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7</w:t>
            </w:r>
          </w:p>
        </w:tc>
        <w:tc>
          <w:tcPr>
            <w:tcW w:w="5387" w:type="dxa"/>
          </w:tcPr>
          <w:p w14:paraId="7875B1EE" w14:textId="77777777" w:rsidR="00703566" w:rsidRPr="00703566" w:rsidRDefault="00703566" w:rsidP="00703566">
            <w:pPr>
              <w:spacing w:before="240" w:line="480" w:lineRule="auto"/>
              <w:jc w:val="center"/>
              <w:rPr>
                <w:rFonts w:ascii="Times New Roman" w:hAnsi="Times New Roman" w:cs="Times New Roman"/>
                <w:sz w:val="28"/>
                <w:szCs w:val="28"/>
              </w:rPr>
            </w:pPr>
            <w:r w:rsidRPr="00703566">
              <w:rPr>
                <w:rFonts w:ascii="Times New Roman" w:hAnsi="Times New Roman" w:cs="Times New Roman"/>
                <w:color w:val="000000"/>
                <w:sz w:val="28"/>
                <w:szCs w:val="28"/>
              </w:rPr>
              <w:t>Annual Income of Samples</w:t>
            </w:r>
          </w:p>
        </w:tc>
        <w:tc>
          <w:tcPr>
            <w:tcW w:w="1465" w:type="dxa"/>
          </w:tcPr>
          <w:p w14:paraId="5637F544" w14:textId="77777777" w:rsidR="00703566" w:rsidRPr="00703566" w:rsidRDefault="00703566" w:rsidP="00703566">
            <w:pPr>
              <w:rPr>
                <w:rFonts w:ascii="Times New Roman" w:hAnsi="Times New Roman" w:cs="Times New Roman"/>
                <w:sz w:val="28"/>
                <w:szCs w:val="28"/>
              </w:rPr>
            </w:pPr>
          </w:p>
        </w:tc>
      </w:tr>
      <w:tr w:rsidR="00703566" w:rsidRPr="00703566" w14:paraId="3E08539F" w14:textId="77777777" w:rsidTr="008A6F48">
        <w:trPr>
          <w:jc w:val="center"/>
        </w:trPr>
        <w:tc>
          <w:tcPr>
            <w:tcW w:w="1511" w:type="dxa"/>
          </w:tcPr>
          <w:p w14:paraId="2AAA26B9" w14:textId="77777777" w:rsidR="00703566" w:rsidRPr="00703566" w:rsidRDefault="00703566" w:rsidP="00703566">
            <w:pPr>
              <w:jc w:val="center"/>
              <w:rPr>
                <w:rFonts w:ascii="Times New Roman" w:hAnsi="Times New Roman" w:cs="Times New Roman"/>
                <w:sz w:val="28"/>
                <w:szCs w:val="28"/>
              </w:rPr>
            </w:pPr>
          </w:p>
          <w:p w14:paraId="5C9C4552"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8</w:t>
            </w:r>
          </w:p>
        </w:tc>
        <w:tc>
          <w:tcPr>
            <w:tcW w:w="5387" w:type="dxa"/>
          </w:tcPr>
          <w:p w14:paraId="721C4AE1" w14:textId="77777777" w:rsidR="00703566" w:rsidRPr="00703566" w:rsidRDefault="00703566" w:rsidP="00703566">
            <w:pPr>
              <w:jc w:val="center"/>
              <w:rPr>
                <w:rFonts w:ascii="Times New Roman" w:hAnsi="Times New Roman" w:cs="Times New Roman"/>
                <w:sz w:val="28"/>
                <w:szCs w:val="28"/>
              </w:rPr>
            </w:pPr>
          </w:p>
          <w:p w14:paraId="42718FC0"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Mode of Transmission of Corona virus Infection Among Target Group</w:t>
            </w:r>
          </w:p>
          <w:p w14:paraId="19A495E3" w14:textId="77777777" w:rsidR="00703566" w:rsidRPr="00703566" w:rsidRDefault="00703566" w:rsidP="00703566">
            <w:pPr>
              <w:jc w:val="center"/>
              <w:rPr>
                <w:rFonts w:ascii="Times New Roman" w:hAnsi="Times New Roman" w:cs="Times New Roman"/>
                <w:sz w:val="28"/>
                <w:szCs w:val="28"/>
              </w:rPr>
            </w:pPr>
          </w:p>
        </w:tc>
        <w:tc>
          <w:tcPr>
            <w:tcW w:w="1465" w:type="dxa"/>
          </w:tcPr>
          <w:p w14:paraId="5A16F6D6" w14:textId="77777777" w:rsidR="00703566" w:rsidRPr="00703566" w:rsidRDefault="00703566" w:rsidP="00703566">
            <w:pPr>
              <w:rPr>
                <w:rFonts w:ascii="Times New Roman" w:hAnsi="Times New Roman" w:cs="Times New Roman"/>
                <w:sz w:val="28"/>
                <w:szCs w:val="28"/>
              </w:rPr>
            </w:pPr>
          </w:p>
        </w:tc>
      </w:tr>
      <w:tr w:rsidR="00703566" w:rsidRPr="00703566" w14:paraId="7107B552" w14:textId="77777777" w:rsidTr="008A6F48">
        <w:trPr>
          <w:jc w:val="center"/>
        </w:trPr>
        <w:tc>
          <w:tcPr>
            <w:tcW w:w="1511" w:type="dxa"/>
          </w:tcPr>
          <w:p w14:paraId="607CD978" w14:textId="77777777" w:rsidR="00703566" w:rsidRPr="00703566" w:rsidRDefault="00703566" w:rsidP="00703566">
            <w:pPr>
              <w:jc w:val="center"/>
              <w:rPr>
                <w:rFonts w:ascii="Times New Roman" w:hAnsi="Times New Roman" w:cs="Times New Roman"/>
                <w:sz w:val="28"/>
                <w:szCs w:val="28"/>
              </w:rPr>
            </w:pPr>
          </w:p>
          <w:p w14:paraId="30AFC136"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9</w:t>
            </w:r>
          </w:p>
        </w:tc>
        <w:tc>
          <w:tcPr>
            <w:tcW w:w="5387" w:type="dxa"/>
          </w:tcPr>
          <w:p w14:paraId="61940EAE" w14:textId="77777777" w:rsidR="00703566" w:rsidRPr="00703566" w:rsidRDefault="00703566" w:rsidP="00703566">
            <w:pPr>
              <w:jc w:val="center"/>
              <w:rPr>
                <w:rFonts w:ascii="Times New Roman" w:hAnsi="Times New Roman" w:cs="Times New Roman"/>
                <w:sz w:val="28"/>
                <w:szCs w:val="28"/>
              </w:rPr>
            </w:pPr>
          </w:p>
          <w:p w14:paraId="08040FC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Symptoms Associated With COVID-19 Among Geriatric</w:t>
            </w:r>
          </w:p>
          <w:p w14:paraId="1EDE8569" w14:textId="77777777" w:rsidR="00703566" w:rsidRPr="00703566" w:rsidRDefault="00703566" w:rsidP="00703566">
            <w:pPr>
              <w:jc w:val="center"/>
              <w:rPr>
                <w:rFonts w:ascii="Times New Roman" w:hAnsi="Times New Roman" w:cs="Times New Roman"/>
                <w:sz w:val="28"/>
                <w:szCs w:val="28"/>
              </w:rPr>
            </w:pPr>
          </w:p>
        </w:tc>
        <w:tc>
          <w:tcPr>
            <w:tcW w:w="1465" w:type="dxa"/>
          </w:tcPr>
          <w:p w14:paraId="59B0DC7E" w14:textId="77777777" w:rsidR="00703566" w:rsidRPr="00703566" w:rsidRDefault="00703566" w:rsidP="00703566">
            <w:pPr>
              <w:rPr>
                <w:rFonts w:ascii="Times New Roman" w:hAnsi="Times New Roman" w:cs="Times New Roman"/>
                <w:sz w:val="28"/>
                <w:szCs w:val="28"/>
              </w:rPr>
            </w:pPr>
          </w:p>
        </w:tc>
      </w:tr>
      <w:tr w:rsidR="00703566" w:rsidRPr="00703566" w14:paraId="20C92A37" w14:textId="77777777" w:rsidTr="008A6F48">
        <w:trPr>
          <w:jc w:val="center"/>
        </w:trPr>
        <w:tc>
          <w:tcPr>
            <w:tcW w:w="1511" w:type="dxa"/>
          </w:tcPr>
          <w:p w14:paraId="4FC40C0A" w14:textId="77777777" w:rsidR="00703566" w:rsidRPr="00703566" w:rsidRDefault="00703566" w:rsidP="00703566">
            <w:pPr>
              <w:jc w:val="center"/>
              <w:rPr>
                <w:rFonts w:ascii="Times New Roman" w:hAnsi="Times New Roman" w:cs="Times New Roman"/>
                <w:sz w:val="28"/>
                <w:szCs w:val="28"/>
              </w:rPr>
            </w:pPr>
          </w:p>
          <w:p w14:paraId="2F0EC236"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10</w:t>
            </w:r>
          </w:p>
        </w:tc>
        <w:tc>
          <w:tcPr>
            <w:tcW w:w="5387" w:type="dxa"/>
          </w:tcPr>
          <w:p w14:paraId="643D5EA4" w14:textId="77777777" w:rsidR="00703566" w:rsidRPr="00703566" w:rsidRDefault="00703566" w:rsidP="00703566">
            <w:pPr>
              <w:jc w:val="center"/>
              <w:rPr>
                <w:rFonts w:ascii="Times New Roman" w:hAnsi="Times New Roman" w:cs="Times New Roman"/>
                <w:sz w:val="28"/>
                <w:szCs w:val="28"/>
              </w:rPr>
            </w:pPr>
          </w:p>
          <w:p w14:paraId="2164AF4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Post Covid Health Issues Among Samples</w:t>
            </w:r>
          </w:p>
        </w:tc>
        <w:tc>
          <w:tcPr>
            <w:tcW w:w="1465" w:type="dxa"/>
          </w:tcPr>
          <w:p w14:paraId="2EA5916F" w14:textId="77777777" w:rsidR="00703566" w:rsidRPr="00703566" w:rsidRDefault="00703566" w:rsidP="00703566">
            <w:pPr>
              <w:rPr>
                <w:rFonts w:ascii="Times New Roman" w:hAnsi="Times New Roman" w:cs="Times New Roman"/>
                <w:sz w:val="28"/>
                <w:szCs w:val="28"/>
              </w:rPr>
            </w:pPr>
          </w:p>
        </w:tc>
      </w:tr>
      <w:tr w:rsidR="00703566" w:rsidRPr="00703566" w14:paraId="66DEAF82" w14:textId="77777777" w:rsidTr="008A6F48">
        <w:trPr>
          <w:jc w:val="center"/>
        </w:trPr>
        <w:tc>
          <w:tcPr>
            <w:tcW w:w="1511" w:type="dxa"/>
          </w:tcPr>
          <w:p w14:paraId="6065401E" w14:textId="77777777" w:rsidR="00703566" w:rsidRPr="00703566" w:rsidRDefault="00703566" w:rsidP="00703566">
            <w:pPr>
              <w:jc w:val="center"/>
              <w:rPr>
                <w:rFonts w:ascii="Times New Roman" w:hAnsi="Times New Roman" w:cs="Times New Roman"/>
                <w:sz w:val="28"/>
                <w:szCs w:val="28"/>
              </w:rPr>
            </w:pPr>
          </w:p>
          <w:p w14:paraId="2759AB52"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11</w:t>
            </w:r>
          </w:p>
        </w:tc>
        <w:tc>
          <w:tcPr>
            <w:tcW w:w="5387" w:type="dxa"/>
          </w:tcPr>
          <w:p w14:paraId="360E3C43" w14:textId="77777777" w:rsidR="00703566" w:rsidRPr="00703566" w:rsidRDefault="00703566" w:rsidP="00703566">
            <w:pPr>
              <w:jc w:val="center"/>
              <w:rPr>
                <w:rFonts w:ascii="Times New Roman" w:hAnsi="Times New Roman" w:cs="Times New Roman"/>
                <w:sz w:val="28"/>
                <w:szCs w:val="28"/>
              </w:rPr>
            </w:pPr>
          </w:p>
          <w:p w14:paraId="5B2A9727"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Recovery Period of Target Group</w:t>
            </w:r>
          </w:p>
        </w:tc>
        <w:tc>
          <w:tcPr>
            <w:tcW w:w="1465" w:type="dxa"/>
          </w:tcPr>
          <w:p w14:paraId="0BF59195" w14:textId="77777777" w:rsidR="00703566" w:rsidRPr="00703566" w:rsidRDefault="00703566" w:rsidP="00703566">
            <w:pPr>
              <w:rPr>
                <w:rFonts w:ascii="Times New Roman" w:hAnsi="Times New Roman" w:cs="Times New Roman"/>
                <w:sz w:val="28"/>
                <w:szCs w:val="28"/>
              </w:rPr>
            </w:pPr>
          </w:p>
        </w:tc>
      </w:tr>
      <w:tr w:rsidR="00703566" w:rsidRPr="00703566" w14:paraId="54C7092D" w14:textId="77777777" w:rsidTr="008A6F48">
        <w:trPr>
          <w:jc w:val="center"/>
        </w:trPr>
        <w:tc>
          <w:tcPr>
            <w:tcW w:w="1511" w:type="dxa"/>
          </w:tcPr>
          <w:p w14:paraId="07FFF8C7" w14:textId="77777777" w:rsidR="00703566" w:rsidRPr="00703566" w:rsidRDefault="00703566" w:rsidP="00703566">
            <w:pPr>
              <w:jc w:val="center"/>
              <w:rPr>
                <w:rFonts w:ascii="Times New Roman" w:hAnsi="Times New Roman" w:cs="Times New Roman"/>
                <w:sz w:val="28"/>
                <w:szCs w:val="28"/>
              </w:rPr>
            </w:pPr>
          </w:p>
          <w:p w14:paraId="01F7A903"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12</w:t>
            </w:r>
          </w:p>
        </w:tc>
        <w:tc>
          <w:tcPr>
            <w:tcW w:w="5387" w:type="dxa"/>
          </w:tcPr>
          <w:p w14:paraId="151B8CD8" w14:textId="77777777" w:rsidR="00703566" w:rsidRPr="00703566" w:rsidRDefault="00703566" w:rsidP="00703566">
            <w:pPr>
              <w:ind w:left="862"/>
              <w:contextualSpacing/>
              <w:jc w:val="center"/>
              <w:rPr>
                <w:rFonts w:ascii="Times New Roman" w:hAnsi="Times New Roman" w:cs="Times New Roman"/>
                <w:sz w:val="28"/>
                <w:szCs w:val="28"/>
              </w:rPr>
            </w:pPr>
          </w:p>
          <w:p w14:paraId="5CF6E926"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Respiratory Strength of Selected Samples</w:t>
            </w:r>
          </w:p>
        </w:tc>
        <w:tc>
          <w:tcPr>
            <w:tcW w:w="1465" w:type="dxa"/>
          </w:tcPr>
          <w:p w14:paraId="075B4DDF" w14:textId="77777777" w:rsidR="00703566" w:rsidRPr="00703566" w:rsidRDefault="00703566" w:rsidP="00703566">
            <w:pPr>
              <w:rPr>
                <w:rFonts w:ascii="Times New Roman" w:hAnsi="Times New Roman" w:cs="Times New Roman"/>
                <w:sz w:val="28"/>
                <w:szCs w:val="28"/>
              </w:rPr>
            </w:pPr>
          </w:p>
        </w:tc>
      </w:tr>
      <w:tr w:rsidR="00703566" w:rsidRPr="00703566" w14:paraId="6C041476" w14:textId="77777777" w:rsidTr="008A6F48">
        <w:trPr>
          <w:jc w:val="center"/>
        </w:trPr>
        <w:tc>
          <w:tcPr>
            <w:tcW w:w="1511" w:type="dxa"/>
          </w:tcPr>
          <w:p w14:paraId="72B7E0C8" w14:textId="77777777" w:rsidR="00703566" w:rsidRPr="00703566" w:rsidRDefault="00703566" w:rsidP="00703566">
            <w:pPr>
              <w:jc w:val="center"/>
              <w:rPr>
                <w:rFonts w:ascii="Times New Roman" w:hAnsi="Times New Roman" w:cs="Times New Roman"/>
                <w:sz w:val="28"/>
                <w:szCs w:val="28"/>
              </w:rPr>
            </w:pPr>
          </w:p>
          <w:p w14:paraId="133745E8"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12</w:t>
            </w:r>
          </w:p>
        </w:tc>
        <w:tc>
          <w:tcPr>
            <w:tcW w:w="5387" w:type="dxa"/>
          </w:tcPr>
          <w:p w14:paraId="4A818276" w14:textId="77777777" w:rsidR="00703566" w:rsidRPr="00703566" w:rsidRDefault="00703566" w:rsidP="00703566">
            <w:pPr>
              <w:jc w:val="center"/>
              <w:rPr>
                <w:rFonts w:ascii="Times New Roman" w:hAnsi="Times New Roman" w:cs="Times New Roman"/>
                <w:sz w:val="28"/>
                <w:szCs w:val="28"/>
              </w:rPr>
            </w:pPr>
          </w:p>
          <w:p w14:paraId="6576D703"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Occurrence of Delirium or Cognitive Impairment in Target Group</w:t>
            </w:r>
          </w:p>
        </w:tc>
        <w:tc>
          <w:tcPr>
            <w:tcW w:w="1465" w:type="dxa"/>
          </w:tcPr>
          <w:p w14:paraId="1B236862" w14:textId="77777777" w:rsidR="00703566" w:rsidRPr="00703566" w:rsidRDefault="00703566" w:rsidP="00703566">
            <w:pPr>
              <w:rPr>
                <w:rFonts w:ascii="Times New Roman" w:hAnsi="Times New Roman" w:cs="Times New Roman"/>
                <w:sz w:val="28"/>
                <w:szCs w:val="28"/>
              </w:rPr>
            </w:pPr>
          </w:p>
          <w:p w14:paraId="3868265C" w14:textId="77777777" w:rsidR="00703566" w:rsidRPr="00703566" w:rsidRDefault="00703566" w:rsidP="00703566">
            <w:pPr>
              <w:rPr>
                <w:rFonts w:ascii="Times New Roman" w:hAnsi="Times New Roman" w:cs="Times New Roman"/>
                <w:sz w:val="28"/>
                <w:szCs w:val="28"/>
              </w:rPr>
            </w:pPr>
          </w:p>
          <w:p w14:paraId="0E945817" w14:textId="77777777" w:rsidR="00703566" w:rsidRPr="00703566" w:rsidRDefault="00703566" w:rsidP="00703566">
            <w:pPr>
              <w:rPr>
                <w:rFonts w:ascii="Times New Roman" w:hAnsi="Times New Roman" w:cs="Times New Roman"/>
                <w:sz w:val="28"/>
                <w:szCs w:val="28"/>
              </w:rPr>
            </w:pPr>
          </w:p>
        </w:tc>
      </w:tr>
    </w:tbl>
    <w:p w14:paraId="7391F637"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419F85DB"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p>
    <w:p w14:paraId="1FDEEF5D"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p>
    <w:p w14:paraId="46917D3B"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r w:rsidRPr="00703566">
        <w:rPr>
          <w:rFonts w:ascii="Times New Roman" w:eastAsia="Calibri" w:hAnsi="Times New Roman" w:cs="Times New Roman"/>
          <w:b/>
          <w:sz w:val="28"/>
          <w:szCs w:val="28"/>
          <w:lang w:val="en-US"/>
        </w:rPr>
        <w:t>LIST OF PLATES</w:t>
      </w:r>
    </w:p>
    <w:tbl>
      <w:tblPr>
        <w:tblStyle w:val="TableGrid"/>
        <w:tblW w:w="0" w:type="auto"/>
        <w:jc w:val="center"/>
        <w:tblLook w:val="04A0" w:firstRow="1" w:lastRow="0" w:firstColumn="1" w:lastColumn="0" w:noHBand="0" w:noVBand="1"/>
      </w:tblPr>
      <w:tblGrid>
        <w:gridCol w:w="1113"/>
        <w:gridCol w:w="4238"/>
        <w:gridCol w:w="3665"/>
      </w:tblGrid>
      <w:tr w:rsidR="00703566" w:rsidRPr="00703566" w14:paraId="288F5FC1" w14:textId="77777777" w:rsidTr="008A6F48">
        <w:trPr>
          <w:jc w:val="center"/>
        </w:trPr>
        <w:tc>
          <w:tcPr>
            <w:tcW w:w="1113" w:type="dxa"/>
          </w:tcPr>
          <w:p w14:paraId="567E0DFC" w14:textId="77777777" w:rsidR="00703566" w:rsidRPr="00703566" w:rsidRDefault="00703566" w:rsidP="00703566">
            <w:pPr>
              <w:jc w:val="center"/>
              <w:rPr>
                <w:rFonts w:ascii="Times New Roman" w:hAnsi="Times New Roman" w:cs="Times New Roman"/>
                <w:b/>
                <w:sz w:val="28"/>
                <w:szCs w:val="28"/>
              </w:rPr>
            </w:pPr>
          </w:p>
          <w:p w14:paraId="3CEB5650"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Sl. No</w:t>
            </w:r>
          </w:p>
          <w:p w14:paraId="2B5B05C5" w14:textId="77777777" w:rsidR="00703566" w:rsidRPr="00703566" w:rsidRDefault="00703566" w:rsidP="00703566">
            <w:pPr>
              <w:jc w:val="center"/>
              <w:rPr>
                <w:rFonts w:ascii="Times New Roman" w:hAnsi="Times New Roman" w:cs="Times New Roman"/>
                <w:b/>
                <w:sz w:val="28"/>
                <w:szCs w:val="28"/>
              </w:rPr>
            </w:pPr>
          </w:p>
        </w:tc>
        <w:tc>
          <w:tcPr>
            <w:tcW w:w="4238" w:type="dxa"/>
          </w:tcPr>
          <w:p w14:paraId="5DF90DB6" w14:textId="77777777" w:rsidR="00703566" w:rsidRPr="00703566" w:rsidRDefault="00703566" w:rsidP="00703566">
            <w:pPr>
              <w:jc w:val="center"/>
              <w:rPr>
                <w:rFonts w:ascii="Times New Roman" w:hAnsi="Times New Roman" w:cs="Times New Roman"/>
                <w:b/>
                <w:sz w:val="28"/>
                <w:szCs w:val="28"/>
              </w:rPr>
            </w:pPr>
          </w:p>
          <w:p w14:paraId="368FF355"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Title</w:t>
            </w:r>
          </w:p>
        </w:tc>
        <w:tc>
          <w:tcPr>
            <w:tcW w:w="3665" w:type="dxa"/>
          </w:tcPr>
          <w:p w14:paraId="4B76D327"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Page No</w:t>
            </w:r>
          </w:p>
        </w:tc>
      </w:tr>
      <w:tr w:rsidR="00703566" w:rsidRPr="00703566" w14:paraId="3579E758" w14:textId="77777777" w:rsidTr="008A6F48">
        <w:trPr>
          <w:trHeight w:val="376"/>
          <w:jc w:val="center"/>
        </w:trPr>
        <w:tc>
          <w:tcPr>
            <w:tcW w:w="1113" w:type="dxa"/>
          </w:tcPr>
          <w:p w14:paraId="1F5927C3" w14:textId="77777777" w:rsidR="00703566" w:rsidRPr="00703566" w:rsidRDefault="00703566" w:rsidP="00703566">
            <w:pPr>
              <w:jc w:val="center"/>
              <w:rPr>
                <w:rFonts w:ascii="Times New Roman" w:hAnsi="Times New Roman" w:cs="Times New Roman"/>
                <w:sz w:val="28"/>
                <w:szCs w:val="28"/>
              </w:rPr>
            </w:pPr>
          </w:p>
          <w:p w14:paraId="3A57239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1</w:t>
            </w:r>
          </w:p>
        </w:tc>
        <w:tc>
          <w:tcPr>
            <w:tcW w:w="4238" w:type="dxa"/>
          </w:tcPr>
          <w:p w14:paraId="3BFDBAE4" w14:textId="77777777" w:rsidR="00703566" w:rsidRPr="00703566" w:rsidRDefault="00703566" w:rsidP="00703566">
            <w:pPr>
              <w:jc w:val="center"/>
              <w:rPr>
                <w:rFonts w:ascii="Times New Roman" w:hAnsi="Times New Roman" w:cs="Times New Roman"/>
                <w:sz w:val="28"/>
                <w:szCs w:val="28"/>
              </w:rPr>
            </w:pPr>
          </w:p>
          <w:p w14:paraId="0FF77E8B"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Interviewing the Samples</w:t>
            </w:r>
          </w:p>
        </w:tc>
        <w:tc>
          <w:tcPr>
            <w:tcW w:w="3665" w:type="dxa"/>
          </w:tcPr>
          <w:p w14:paraId="24BE5970" w14:textId="77777777" w:rsidR="00703566" w:rsidRPr="00703566" w:rsidRDefault="00703566" w:rsidP="00703566">
            <w:pPr>
              <w:jc w:val="center"/>
              <w:rPr>
                <w:rFonts w:ascii="Times New Roman" w:hAnsi="Times New Roman" w:cs="Times New Roman"/>
                <w:sz w:val="28"/>
                <w:szCs w:val="28"/>
              </w:rPr>
            </w:pPr>
          </w:p>
        </w:tc>
      </w:tr>
      <w:tr w:rsidR="00703566" w:rsidRPr="00703566" w14:paraId="517AC311" w14:textId="77777777" w:rsidTr="008A6F48">
        <w:trPr>
          <w:jc w:val="center"/>
        </w:trPr>
        <w:tc>
          <w:tcPr>
            <w:tcW w:w="1113" w:type="dxa"/>
          </w:tcPr>
          <w:p w14:paraId="20ACE3A7" w14:textId="77777777" w:rsidR="00703566" w:rsidRPr="00703566" w:rsidRDefault="00703566" w:rsidP="00703566">
            <w:pPr>
              <w:jc w:val="center"/>
              <w:rPr>
                <w:rFonts w:ascii="Times New Roman" w:hAnsi="Times New Roman" w:cs="Times New Roman"/>
                <w:sz w:val="28"/>
                <w:szCs w:val="28"/>
              </w:rPr>
            </w:pPr>
          </w:p>
          <w:p w14:paraId="23A6387D"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2</w:t>
            </w:r>
          </w:p>
        </w:tc>
        <w:tc>
          <w:tcPr>
            <w:tcW w:w="4238" w:type="dxa"/>
          </w:tcPr>
          <w:p w14:paraId="3AD1DD71" w14:textId="77777777" w:rsidR="00703566" w:rsidRPr="00703566" w:rsidRDefault="00703566" w:rsidP="00703566">
            <w:pPr>
              <w:jc w:val="center"/>
              <w:rPr>
                <w:rFonts w:ascii="Times New Roman" w:hAnsi="Times New Roman" w:cs="Times New Roman"/>
                <w:sz w:val="28"/>
                <w:szCs w:val="28"/>
              </w:rPr>
            </w:pPr>
          </w:p>
          <w:p w14:paraId="2028FD36"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Measuring Respondents Weight</w:t>
            </w:r>
          </w:p>
        </w:tc>
        <w:tc>
          <w:tcPr>
            <w:tcW w:w="3665" w:type="dxa"/>
          </w:tcPr>
          <w:p w14:paraId="5F86CD31" w14:textId="77777777" w:rsidR="00703566" w:rsidRPr="00703566" w:rsidRDefault="00703566" w:rsidP="00703566">
            <w:pPr>
              <w:jc w:val="center"/>
              <w:rPr>
                <w:rFonts w:ascii="Times New Roman" w:hAnsi="Times New Roman" w:cs="Times New Roman"/>
                <w:sz w:val="28"/>
                <w:szCs w:val="28"/>
              </w:rPr>
            </w:pPr>
          </w:p>
        </w:tc>
      </w:tr>
    </w:tbl>
    <w:p w14:paraId="6D9A3D16" w14:textId="77777777" w:rsidR="00703566" w:rsidRPr="00703566" w:rsidRDefault="00703566" w:rsidP="00703566">
      <w:pPr>
        <w:spacing w:after="200" w:line="360" w:lineRule="auto"/>
        <w:rPr>
          <w:rFonts w:ascii="Times New Roman" w:eastAsia="Calibri" w:hAnsi="Times New Roman" w:cs="Times New Roman"/>
          <w:b/>
          <w:sz w:val="28"/>
          <w:szCs w:val="28"/>
          <w:lang w:val="en-US"/>
        </w:rPr>
      </w:pPr>
    </w:p>
    <w:p w14:paraId="512673FF"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p>
    <w:p w14:paraId="4B3CD2FB"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p>
    <w:p w14:paraId="7776BCC0" w14:textId="77777777" w:rsidR="00703566" w:rsidRPr="00703566" w:rsidRDefault="00703566" w:rsidP="00703566">
      <w:pPr>
        <w:spacing w:after="200" w:line="360" w:lineRule="auto"/>
        <w:jc w:val="center"/>
        <w:rPr>
          <w:rFonts w:ascii="Times New Roman" w:eastAsia="Calibri" w:hAnsi="Times New Roman" w:cs="Times New Roman"/>
          <w:b/>
          <w:sz w:val="28"/>
          <w:szCs w:val="28"/>
          <w:lang w:val="en-US"/>
        </w:rPr>
      </w:pPr>
      <w:r w:rsidRPr="00703566">
        <w:rPr>
          <w:rFonts w:ascii="Times New Roman" w:eastAsia="Calibri" w:hAnsi="Times New Roman" w:cs="Times New Roman"/>
          <w:b/>
          <w:sz w:val="28"/>
          <w:szCs w:val="28"/>
          <w:lang w:val="en-US"/>
        </w:rPr>
        <w:t xml:space="preserve">LIST OF </w:t>
      </w:r>
      <w:proofErr w:type="gramStart"/>
      <w:r w:rsidRPr="00703566">
        <w:rPr>
          <w:rFonts w:ascii="Times New Roman" w:eastAsia="Calibri" w:hAnsi="Times New Roman" w:cs="Times New Roman"/>
          <w:b/>
          <w:sz w:val="28"/>
          <w:szCs w:val="28"/>
          <w:lang w:val="en-US"/>
        </w:rPr>
        <w:t>APPENDIX</w:t>
      </w:r>
      <w:proofErr w:type="gramEnd"/>
    </w:p>
    <w:tbl>
      <w:tblPr>
        <w:tblStyle w:val="TableGrid"/>
        <w:tblW w:w="0" w:type="auto"/>
        <w:jc w:val="center"/>
        <w:tblLook w:val="04A0" w:firstRow="1" w:lastRow="0" w:firstColumn="1" w:lastColumn="0" w:noHBand="0" w:noVBand="1"/>
      </w:tblPr>
      <w:tblGrid>
        <w:gridCol w:w="1655"/>
        <w:gridCol w:w="3996"/>
        <w:gridCol w:w="3365"/>
      </w:tblGrid>
      <w:tr w:rsidR="00703566" w:rsidRPr="00703566" w14:paraId="57279F30" w14:textId="77777777" w:rsidTr="008A6F48">
        <w:trPr>
          <w:jc w:val="center"/>
        </w:trPr>
        <w:tc>
          <w:tcPr>
            <w:tcW w:w="1655" w:type="dxa"/>
          </w:tcPr>
          <w:p w14:paraId="2133FC3A" w14:textId="77777777" w:rsidR="00703566" w:rsidRPr="00703566" w:rsidRDefault="00703566" w:rsidP="00703566">
            <w:pPr>
              <w:jc w:val="center"/>
              <w:rPr>
                <w:rFonts w:ascii="Times New Roman" w:hAnsi="Times New Roman" w:cs="Times New Roman"/>
                <w:b/>
                <w:sz w:val="28"/>
                <w:szCs w:val="28"/>
              </w:rPr>
            </w:pPr>
          </w:p>
          <w:p w14:paraId="625FF4E4"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Appendix No</w:t>
            </w:r>
          </w:p>
          <w:p w14:paraId="1642B508" w14:textId="77777777" w:rsidR="00703566" w:rsidRPr="00703566" w:rsidRDefault="00703566" w:rsidP="00703566">
            <w:pPr>
              <w:jc w:val="center"/>
              <w:rPr>
                <w:rFonts w:ascii="Times New Roman" w:hAnsi="Times New Roman" w:cs="Times New Roman"/>
                <w:b/>
                <w:sz w:val="28"/>
                <w:szCs w:val="28"/>
              </w:rPr>
            </w:pPr>
          </w:p>
        </w:tc>
        <w:tc>
          <w:tcPr>
            <w:tcW w:w="3996" w:type="dxa"/>
          </w:tcPr>
          <w:p w14:paraId="1827C475" w14:textId="77777777" w:rsidR="00703566" w:rsidRPr="00703566" w:rsidRDefault="00703566" w:rsidP="00703566">
            <w:pPr>
              <w:jc w:val="center"/>
              <w:rPr>
                <w:rFonts w:ascii="Times New Roman" w:hAnsi="Times New Roman" w:cs="Times New Roman"/>
                <w:b/>
                <w:sz w:val="28"/>
                <w:szCs w:val="28"/>
              </w:rPr>
            </w:pPr>
          </w:p>
          <w:p w14:paraId="48A87A18"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Title</w:t>
            </w:r>
          </w:p>
        </w:tc>
        <w:tc>
          <w:tcPr>
            <w:tcW w:w="3365" w:type="dxa"/>
          </w:tcPr>
          <w:p w14:paraId="0260D067" w14:textId="77777777" w:rsidR="00703566" w:rsidRPr="00703566" w:rsidRDefault="00703566" w:rsidP="00703566">
            <w:pPr>
              <w:jc w:val="center"/>
              <w:rPr>
                <w:rFonts w:ascii="Times New Roman" w:hAnsi="Times New Roman" w:cs="Times New Roman"/>
                <w:b/>
                <w:sz w:val="28"/>
                <w:szCs w:val="28"/>
              </w:rPr>
            </w:pPr>
            <w:r w:rsidRPr="00703566">
              <w:rPr>
                <w:rFonts w:ascii="Times New Roman" w:hAnsi="Times New Roman" w:cs="Times New Roman"/>
                <w:b/>
                <w:sz w:val="28"/>
                <w:szCs w:val="28"/>
              </w:rPr>
              <w:t>Page No</w:t>
            </w:r>
          </w:p>
        </w:tc>
      </w:tr>
      <w:tr w:rsidR="00703566" w:rsidRPr="00703566" w14:paraId="1573DA70" w14:textId="77777777" w:rsidTr="008A6F48">
        <w:trPr>
          <w:jc w:val="center"/>
        </w:trPr>
        <w:tc>
          <w:tcPr>
            <w:tcW w:w="1655" w:type="dxa"/>
          </w:tcPr>
          <w:p w14:paraId="2612CEE1" w14:textId="77777777" w:rsidR="00703566" w:rsidRPr="00703566" w:rsidRDefault="00703566" w:rsidP="00703566">
            <w:pPr>
              <w:jc w:val="center"/>
              <w:rPr>
                <w:rFonts w:ascii="Times New Roman" w:hAnsi="Times New Roman" w:cs="Times New Roman"/>
                <w:sz w:val="28"/>
                <w:szCs w:val="28"/>
              </w:rPr>
            </w:pPr>
          </w:p>
          <w:p w14:paraId="3A97616F"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I</w:t>
            </w:r>
          </w:p>
        </w:tc>
        <w:tc>
          <w:tcPr>
            <w:tcW w:w="3996" w:type="dxa"/>
          </w:tcPr>
          <w:p w14:paraId="5C81B50A" w14:textId="77777777" w:rsidR="00703566" w:rsidRPr="00703566" w:rsidRDefault="00703566" w:rsidP="00703566">
            <w:pPr>
              <w:jc w:val="center"/>
              <w:rPr>
                <w:rFonts w:ascii="Times New Roman" w:hAnsi="Times New Roman" w:cs="Times New Roman"/>
                <w:sz w:val="28"/>
                <w:szCs w:val="28"/>
              </w:rPr>
            </w:pPr>
          </w:p>
          <w:p w14:paraId="770B390A"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Interview Schedule</w:t>
            </w:r>
          </w:p>
          <w:p w14:paraId="049830DE" w14:textId="77777777" w:rsidR="00703566" w:rsidRPr="00703566" w:rsidRDefault="00703566" w:rsidP="00703566">
            <w:pPr>
              <w:rPr>
                <w:rFonts w:ascii="Times New Roman" w:hAnsi="Times New Roman" w:cs="Times New Roman"/>
                <w:sz w:val="28"/>
                <w:szCs w:val="28"/>
              </w:rPr>
            </w:pPr>
          </w:p>
        </w:tc>
        <w:tc>
          <w:tcPr>
            <w:tcW w:w="3365" w:type="dxa"/>
          </w:tcPr>
          <w:p w14:paraId="5D976E6B" w14:textId="77777777" w:rsidR="00703566" w:rsidRPr="00703566" w:rsidRDefault="00703566" w:rsidP="00703566">
            <w:pPr>
              <w:jc w:val="center"/>
              <w:rPr>
                <w:rFonts w:ascii="Times New Roman" w:hAnsi="Times New Roman" w:cs="Times New Roman"/>
                <w:sz w:val="28"/>
                <w:szCs w:val="28"/>
              </w:rPr>
            </w:pPr>
          </w:p>
        </w:tc>
      </w:tr>
      <w:tr w:rsidR="00703566" w:rsidRPr="00703566" w14:paraId="1BB9A792" w14:textId="77777777" w:rsidTr="008A6F48">
        <w:trPr>
          <w:jc w:val="center"/>
        </w:trPr>
        <w:tc>
          <w:tcPr>
            <w:tcW w:w="1655" w:type="dxa"/>
          </w:tcPr>
          <w:p w14:paraId="188FACD1" w14:textId="77777777" w:rsidR="00703566" w:rsidRPr="00703566" w:rsidRDefault="00703566" w:rsidP="00703566">
            <w:pPr>
              <w:jc w:val="center"/>
              <w:rPr>
                <w:rFonts w:ascii="Times New Roman" w:hAnsi="Times New Roman" w:cs="Times New Roman"/>
                <w:sz w:val="28"/>
                <w:szCs w:val="28"/>
              </w:rPr>
            </w:pPr>
          </w:p>
          <w:p w14:paraId="5AE59542"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II</w:t>
            </w:r>
          </w:p>
        </w:tc>
        <w:tc>
          <w:tcPr>
            <w:tcW w:w="3996" w:type="dxa"/>
          </w:tcPr>
          <w:p w14:paraId="349BDBD2" w14:textId="77777777" w:rsidR="00703566" w:rsidRPr="00703566" w:rsidRDefault="00703566" w:rsidP="00703566">
            <w:pPr>
              <w:jc w:val="center"/>
              <w:rPr>
                <w:rFonts w:ascii="Times New Roman" w:hAnsi="Times New Roman" w:cs="Times New Roman"/>
                <w:sz w:val="28"/>
                <w:szCs w:val="28"/>
              </w:rPr>
            </w:pPr>
          </w:p>
          <w:p w14:paraId="5A4CCEC5" w14:textId="77777777" w:rsidR="00703566" w:rsidRPr="00703566" w:rsidRDefault="00703566" w:rsidP="00703566">
            <w:pPr>
              <w:jc w:val="center"/>
              <w:rPr>
                <w:rFonts w:ascii="Times New Roman" w:hAnsi="Times New Roman" w:cs="Times New Roman"/>
                <w:sz w:val="28"/>
                <w:szCs w:val="28"/>
              </w:rPr>
            </w:pPr>
            <w:r w:rsidRPr="00703566">
              <w:rPr>
                <w:rFonts w:ascii="Times New Roman" w:hAnsi="Times New Roman" w:cs="Times New Roman"/>
                <w:sz w:val="28"/>
                <w:szCs w:val="28"/>
              </w:rPr>
              <w:t>Statistical Appraisal</w:t>
            </w:r>
          </w:p>
          <w:p w14:paraId="4FA54058" w14:textId="77777777" w:rsidR="00703566" w:rsidRPr="00703566" w:rsidRDefault="00703566" w:rsidP="00703566">
            <w:pPr>
              <w:jc w:val="center"/>
              <w:rPr>
                <w:rFonts w:ascii="Times New Roman" w:hAnsi="Times New Roman" w:cs="Times New Roman"/>
                <w:sz w:val="28"/>
                <w:szCs w:val="28"/>
              </w:rPr>
            </w:pPr>
          </w:p>
        </w:tc>
        <w:tc>
          <w:tcPr>
            <w:tcW w:w="3365" w:type="dxa"/>
          </w:tcPr>
          <w:p w14:paraId="11A25593" w14:textId="77777777" w:rsidR="00703566" w:rsidRPr="00703566" w:rsidRDefault="00703566" w:rsidP="00703566">
            <w:pPr>
              <w:jc w:val="center"/>
              <w:rPr>
                <w:rFonts w:ascii="Times New Roman" w:hAnsi="Times New Roman" w:cs="Times New Roman"/>
                <w:sz w:val="28"/>
                <w:szCs w:val="28"/>
              </w:rPr>
            </w:pPr>
          </w:p>
        </w:tc>
      </w:tr>
    </w:tbl>
    <w:p w14:paraId="3C5E443C" w14:textId="77777777" w:rsidR="00703566" w:rsidRPr="00703566" w:rsidRDefault="00703566" w:rsidP="00703566">
      <w:pPr>
        <w:spacing w:line="360" w:lineRule="auto"/>
        <w:jc w:val="both"/>
        <w:rPr>
          <w:rFonts w:ascii="Times New Roman" w:hAnsi="Times New Roman" w:cs="Times New Roman"/>
          <w:b/>
          <w:bCs/>
          <w:sz w:val="28"/>
          <w:szCs w:val="28"/>
          <w:lang w:val="en-US"/>
        </w:rPr>
      </w:pPr>
    </w:p>
    <w:p w14:paraId="076C947B" w14:textId="77777777" w:rsidR="00703566" w:rsidRPr="00703566" w:rsidRDefault="00703566" w:rsidP="00703566">
      <w:pPr>
        <w:spacing w:line="360" w:lineRule="auto"/>
        <w:jc w:val="both"/>
        <w:rPr>
          <w:rFonts w:ascii="Times New Roman" w:hAnsi="Times New Roman" w:cs="Times New Roman"/>
          <w:b/>
          <w:bCs/>
          <w:sz w:val="28"/>
          <w:szCs w:val="28"/>
          <w:lang w:val="en-US"/>
        </w:rPr>
      </w:pPr>
    </w:p>
    <w:p w14:paraId="6B88EEA0" w14:textId="77777777" w:rsidR="00703566" w:rsidRPr="00703566" w:rsidRDefault="00703566" w:rsidP="00703566">
      <w:pPr>
        <w:spacing w:line="360" w:lineRule="auto"/>
        <w:jc w:val="both"/>
        <w:rPr>
          <w:rFonts w:ascii="Times New Roman" w:hAnsi="Times New Roman" w:cs="Times New Roman"/>
          <w:b/>
          <w:bCs/>
          <w:sz w:val="28"/>
          <w:szCs w:val="28"/>
          <w:lang w:val="en-US"/>
        </w:rPr>
      </w:pPr>
    </w:p>
    <w:p w14:paraId="7F3755F3" w14:textId="77777777" w:rsidR="00703566" w:rsidRPr="00703566" w:rsidRDefault="00703566" w:rsidP="00703566">
      <w:pPr>
        <w:spacing w:line="360" w:lineRule="auto"/>
        <w:jc w:val="both"/>
        <w:rPr>
          <w:rFonts w:ascii="Times New Roman" w:hAnsi="Times New Roman" w:cs="Times New Roman"/>
          <w:b/>
          <w:bCs/>
          <w:sz w:val="28"/>
          <w:szCs w:val="28"/>
          <w:lang w:val="en-US"/>
        </w:rPr>
      </w:pPr>
    </w:p>
    <w:p w14:paraId="08E945CA" w14:textId="77777777" w:rsidR="00703566" w:rsidRPr="00703566" w:rsidRDefault="00703566" w:rsidP="00703566">
      <w:pPr>
        <w:spacing w:after="0" w:line="276" w:lineRule="auto"/>
        <w:jc w:val="both"/>
        <w:rPr>
          <w:rFonts w:ascii="Times New Roman" w:eastAsia="Times New Roman" w:hAnsi="Times New Roman" w:cs="Times New Roman"/>
          <w:b/>
          <w:bCs/>
          <w:color w:val="0E101A"/>
          <w:sz w:val="24"/>
          <w:szCs w:val="24"/>
          <w:lang w:eastAsia="en-IN"/>
        </w:rPr>
      </w:pPr>
    </w:p>
    <w:p w14:paraId="78270942" w14:textId="77777777" w:rsidR="00703566" w:rsidRPr="00703566" w:rsidRDefault="00703566" w:rsidP="00703566">
      <w:pPr>
        <w:spacing w:after="0" w:line="276" w:lineRule="auto"/>
        <w:ind w:left="2880" w:firstLine="720"/>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lastRenderedPageBreak/>
        <w:t>ABSTRACT</w:t>
      </w:r>
    </w:p>
    <w:p w14:paraId="0C9B0FA2" w14:textId="77777777" w:rsidR="00703566" w:rsidRPr="00703566" w:rsidRDefault="00703566" w:rsidP="00703566">
      <w:pPr>
        <w:spacing w:after="0" w:line="276" w:lineRule="auto"/>
        <w:jc w:val="both"/>
        <w:rPr>
          <w:rFonts w:ascii="Times New Roman" w:eastAsia="Times New Roman" w:hAnsi="Times New Roman" w:cs="Times New Roman"/>
          <w:b/>
          <w:bCs/>
          <w:color w:val="0E101A"/>
          <w:sz w:val="24"/>
          <w:szCs w:val="24"/>
          <w:lang w:eastAsia="en-IN"/>
        </w:rPr>
      </w:pPr>
    </w:p>
    <w:p w14:paraId="33B367A2" w14:textId="77777777" w:rsidR="00703566" w:rsidRPr="00703566" w:rsidRDefault="00703566" w:rsidP="00703566">
      <w:pPr>
        <w:spacing w:after="0" w:line="276"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t>DETERMINANTS OF COVID OUTBREAK AND NUTRITIONAL PROFILE OF GERIATRIC COVID -19 PATIENTS IN COASTAL AREAS OF ALAPPUZHA</w:t>
      </w:r>
    </w:p>
    <w:p w14:paraId="049B8B05" w14:textId="77777777" w:rsidR="00703566" w:rsidRPr="00703566" w:rsidRDefault="00703566" w:rsidP="00703566">
      <w:pPr>
        <w:spacing w:after="0" w:line="276"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t>Introduction</w:t>
      </w:r>
      <w:r w:rsidRPr="00703566">
        <w:rPr>
          <w:rFonts w:ascii="Times New Roman" w:eastAsia="Times New Roman" w:hAnsi="Times New Roman" w:cs="Times New Roman"/>
          <w:color w:val="0E101A"/>
          <w:sz w:val="24"/>
          <w:szCs w:val="24"/>
          <w:lang w:eastAsia="en-IN"/>
        </w:rPr>
        <w:t xml:space="preserve">: The global COVID-19 pandemic has wreaked havoc on people all over the world. The social distancing protocols enacted to slow the spread of COVID-1 9 are more likely to have negative consequences for older people, who already have higher rates of social alienation and loneliness. Physiologic psychological changes reduced invulnerability capability, and multi-morbidity. The elderly may constitute a distinct group of patients who are at high risk of developing COVID-19 and experiencing rapid clinical deterioration. </w:t>
      </w:r>
      <w:proofErr w:type="spellStart"/>
      <w:r w:rsidRPr="00703566">
        <w:rPr>
          <w:rFonts w:ascii="Times New Roman" w:eastAsia="Times New Roman" w:hAnsi="Times New Roman" w:cs="Times New Roman"/>
          <w:color w:val="0E101A"/>
          <w:sz w:val="24"/>
          <w:szCs w:val="24"/>
          <w:lang w:eastAsia="en-IN"/>
        </w:rPr>
        <w:t>Immunosenescence</w:t>
      </w:r>
      <w:proofErr w:type="spellEnd"/>
      <w:r w:rsidRPr="00703566">
        <w:rPr>
          <w:rFonts w:ascii="Times New Roman" w:eastAsia="Times New Roman" w:hAnsi="Times New Roman" w:cs="Times New Roman"/>
          <w:color w:val="0E101A"/>
          <w:sz w:val="24"/>
          <w:szCs w:val="24"/>
          <w:lang w:eastAsia="en-IN"/>
        </w:rPr>
        <w:t xml:space="preserve"> and comorbid conditions are more likely in older people to promote viral-induced cytokine storms, which can lead to life-threatening respiratory failure and multisystemic involvement. </w:t>
      </w:r>
      <w:r w:rsidRPr="00703566">
        <w:rPr>
          <w:rFonts w:ascii="Times New Roman" w:eastAsia="Times New Roman" w:hAnsi="Times New Roman" w:cs="Times New Roman"/>
          <w:b/>
          <w:bCs/>
          <w:color w:val="0E101A"/>
          <w:sz w:val="24"/>
          <w:szCs w:val="24"/>
          <w:lang w:eastAsia="en-IN"/>
        </w:rPr>
        <w:t>Methods</w:t>
      </w:r>
      <w:r w:rsidRPr="00703566">
        <w:rPr>
          <w:rFonts w:ascii="Times New Roman" w:eastAsia="Times New Roman" w:hAnsi="Times New Roman" w:cs="Times New Roman"/>
          <w:color w:val="0E101A"/>
          <w:sz w:val="24"/>
          <w:szCs w:val="24"/>
          <w:lang w:eastAsia="en-IN"/>
        </w:rPr>
        <w:t>: 100 samples of old age people from Cherthala thaluk (</w:t>
      </w:r>
      <w:proofErr w:type="spellStart"/>
      <w:r w:rsidRPr="00703566">
        <w:rPr>
          <w:rFonts w:ascii="Times New Roman" w:eastAsia="Times New Roman" w:hAnsi="Times New Roman" w:cs="Times New Roman"/>
          <w:color w:val="0E101A"/>
          <w:sz w:val="24"/>
          <w:szCs w:val="24"/>
          <w:lang w:eastAsia="en-IN"/>
        </w:rPr>
        <w:t>Kadakkarapally</w:t>
      </w:r>
      <w:proofErr w:type="spellEnd"/>
      <w:r w:rsidRPr="00703566">
        <w:rPr>
          <w:rFonts w:ascii="Times New Roman" w:eastAsia="Times New Roman" w:hAnsi="Times New Roman" w:cs="Times New Roman"/>
          <w:color w:val="0E101A"/>
          <w:sz w:val="24"/>
          <w:szCs w:val="24"/>
          <w:lang w:eastAsia="en-IN"/>
        </w:rPr>
        <w:t xml:space="preserve"> grama panchayath) were taken, out of which 50 were females and 50 were males. Above 55 years old age were selected for the study through the purposive sampling method. Details of respondents from registers provided by health workers were used for the selection of samples. A structured questionnaire was used for assessing personal data, dietary information, health profile, anthropometric measurements, and quality of life. MNA Mini Nutritional Assessment) tool, </w:t>
      </w:r>
      <w:proofErr w:type="gramStart"/>
      <w:r w:rsidRPr="00703566">
        <w:rPr>
          <w:rFonts w:ascii="Times New Roman" w:eastAsia="Times New Roman" w:hAnsi="Times New Roman" w:cs="Times New Roman"/>
          <w:color w:val="0E101A"/>
          <w:sz w:val="24"/>
          <w:szCs w:val="24"/>
          <w:lang w:eastAsia="en-IN"/>
        </w:rPr>
        <w:t>FFQ( Food</w:t>
      </w:r>
      <w:proofErr w:type="gramEnd"/>
      <w:r w:rsidRPr="00703566">
        <w:rPr>
          <w:rFonts w:ascii="Times New Roman" w:eastAsia="Times New Roman" w:hAnsi="Times New Roman" w:cs="Times New Roman"/>
          <w:color w:val="0E101A"/>
          <w:sz w:val="24"/>
          <w:szCs w:val="24"/>
          <w:lang w:eastAsia="en-IN"/>
        </w:rPr>
        <w:t xml:space="preserve"> Frequency Questionnaire). The 24-hour recall method was used in nutritional surveys to collect the dietary intake of respondents. DASS (Depression Anxiety Stress Scale was used to </w:t>
      </w:r>
      <w:proofErr w:type="spellStart"/>
      <w:r w:rsidRPr="00703566">
        <w:rPr>
          <w:rFonts w:ascii="Times New Roman" w:eastAsia="Times New Roman" w:hAnsi="Times New Roman" w:cs="Times New Roman"/>
          <w:color w:val="0E101A"/>
          <w:sz w:val="24"/>
          <w:szCs w:val="24"/>
          <w:lang w:eastAsia="en-IN"/>
        </w:rPr>
        <w:t>analyze</w:t>
      </w:r>
      <w:proofErr w:type="spellEnd"/>
      <w:r w:rsidRPr="00703566">
        <w:rPr>
          <w:rFonts w:ascii="Times New Roman" w:eastAsia="Times New Roman" w:hAnsi="Times New Roman" w:cs="Times New Roman"/>
          <w:color w:val="0E101A"/>
          <w:sz w:val="24"/>
          <w:szCs w:val="24"/>
          <w:lang w:eastAsia="en-IN"/>
        </w:rPr>
        <w:t xml:space="preserve"> the psychological status of the respondents. </w:t>
      </w:r>
      <w:r w:rsidRPr="00703566">
        <w:rPr>
          <w:rFonts w:ascii="Times New Roman" w:eastAsia="Times New Roman" w:hAnsi="Times New Roman" w:cs="Times New Roman"/>
          <w:b/>
          <w:bCs/>
          <w:color w:val="0E101A"/>
          <w:sz w:val="24"/>
          <w:szCs w:val="24"/>
          <w:lang w:eastAsia="en-IN"/>
        </w:rPr>
        <w:t>Results</w:t>
      </w:r>
      <w:r w:rsidRPr="00703566">
        <w:rPr>
          <w:rFonts w:ascii="Times New Roman" w:eastAsia="Times New Roman" w:hAnsi="Times New Roman" w:cs="Times New Roman"/>
          <w:color w:val="0E101A"/>
          <w:sz w:val="24"/>
          <w:szCs w:val="24"/>
          <w:lang w:eastAsia="en-IN"/>
        </w:rPr>
        <w:t xml:space="preserve">: This study reveals that the majority of the people (80%) were from the low-income category, socio-economic factors may contribute to the incidence of coronavirus infection among elders. It was evident that the majority of the respondents have clinical symptoms such as fever, loss of smell and taste, tiredness, dry cough, headache, and gastrointestinal symptoms. Very few samples were found to have symptoms like difficulty breathing, chest pain, and loss of speech or movement associated with COVID 19. Post COVID-19 health issues among elders are palpitation, fatigue, joint pain. Shortness of breath, loss of taste or smell, memory loss </w:t>
      </w:r>
      <w:proofErr w:type="gramStart"/>
      <w:r w:rsidRPr="00703566">
        <w:rPr>
          <w:rFonts w:ascii="Times New Roman" w:eastAsia="Times New Roman" w:hAnsi="Times New Roman" w:cs="Times New Roman"/>
          <w:color w:val="0E101A"/>
          <w:sz w:val="24"/>
          <w:szCs w:val="24"/>
          <w:lang w:eastAsia="en-IN"/>
        </w:rPr>
        <w:t>were</w:t>
      </w:r>
      <w:proofErr w:type="gramEnd"/>
      <w:r w:rsidRPr="00703566">
        <w:rPr>
          <w:rFonts w:ascii="Times New Roman" w:eastAsia="Times New Roman" w:hAnsi="Times New Roman" w:cs="Times New Roman"/>
          <w:color w:val="0E101A"/>
          <w:sz w:val="24"/>
          <w:szCs w:val="24"/>
          <w:lang w:eastAsia="en-IN"/>
        </w:rPr>
        <w:t xml:space="preserve"> affected by numerous samples. Comorbidities increase the severity of COVID-19 among the geriatric population. The study found that females have more health issues after the COVID-19 infection. </w:t>
      </w:r>
      <w:r w:rsidRPr="00703566">
        <w:rPr>
          <w:rFonts w:ascii="Times New Roman" w:eastAsia="Times New Roman" w:hAnsi="Times New Roman" w:cs="Times New Roman"/>
          <w:b/>
          <w:bCs/>
          <w:color w:val="0E101A"/>
          <w:sz w:val="24"/>
          <w:szCs w:val="24"/>
          <w:lang w:eastAsia="en-IN"/>
        </w:rPr>
        <w:t>Conclusions</w:t>
      </w:r>
      <w:r w:rsidRPr="00703566">
        <w:rPr>
          <w:rFonts w:ascii="Times New Roman" w:eastAsia="Times New Roman" w:hAnsi="Times New Roman" w:cs="Times New Roman"/>
          <w:color w:val="0E101A"/>
          <w:sz w:val="24"/>
          <w:szCs w:val="24"/>
          <w:lang w:eastAsia="en-IN"/>
        </w:rPr>
        <w:t>: The change in lifestyle and nutritional profile during COVID-19 influence the quality of life of the geriatric population. Their socio-economic status negatively affected and limited their health care facilities. Nutritional status and health profile of elders were worsened during the pandemic, and some physiological distress developed after COVID-19 infection. </w:t>
      </w:r>
    </w:p>
    <w:p w14:paraId="5E30F823" w14:textId="77777777" w:rsidR="00703566" w:rsidRPr="00703566" w:rsidRDefault="00703566" w:rsidP="00703566">
      <w:pPr>
        <w:spacing w:after="0" w:line="276"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t>Keywords</w:t>
      </w:r>
      <w:r w:rsidRPr="00703566">
        <w:rPr>
          <w:rFonts w:ascii="Times New Roman" w:eastAsia="Times New Roman" w:hAnsi="Times New Roman" w:cs="Times New Roman"/>
          <w:color w:val="0E101A"/>
          <w:sz w:val="24"/>
          <w:szCs w:val="24"/>
          <w:lang w:eastAsia="en-IN"/>
        </w:rPr>
        <w:t>: </w:t>
      </w:r>
      <w:r w:rsidRPr="00703566">
        <w:rPr>
          <w:rFonts w:ascii="Times New Roman" w:eastAsia="Times New Roman" w:hAnsi="Times New Roman" w:cs="Times New Roman"/>
          <w:b/>
          <w:bCs/>
          <w:color w:val="0E101A"/>
          <w:sz w:val="24"/>
          <w:szCs w:val="24"/>
          <w:lang w:eastAsia="en-IN"/>
        </w:rPr>
        <w:t xml:space="preserve">COVID-19, Comorbidities, </w:t>
      </w:r>
      <w:proofErr w:type="spellStart"/>
      <w:r w:rsidRPr="00703566">
        <w:rPr>
          <w:rFonts w:ascii="Times New Roman" w:eastAsia="Times New Roman" w:hAnsi="Times New Roman" w:cs="Times New Roman"/>
          <w:b/>
          <w:bCs/>
          <w:color w:val="0E101A"/>
          <w:sz w:val="24"/>
          <w:szCs w:val="24"/>
          <w:lang w:eastAsia="en-IN"/>
        </w:rPr>
        <w:t>Immunosenescence</w:t>
      </w:r>
      <w:proofErr w:type="spellEnd"/>
      <w:r w:rsidRPr="00703566">
        <w:rPr>
          <w:rFonts w:ascii="Times New Roman" w:eastAsia="Times New Roman" w:hAnsi="Times New Roman" w:cs="Times New Roman"/>
          <w:b/>
          <w:bCs/>
          <w:color w:val="0E101A"/>
          <w:sz w:val="24"/>
          <w:szCs w:val="24"/>
          <w:lang w:eastAsia="en-IN"/>
        </w:rPr>
        <w:t>, Geriatrics, Quality of Life</w:t>
      </w:r>
    </w:p>
    <w:p w14:paraId="17AC2ED5" w14:textId="77777777" w:rsidR="00703566" w:rsidRPr="00703566" w:rsidRDefault="00703566" w:rsidP="00703566">
      <w:pPr>
        <w:spacing w:line="276" w:lineRule="auto"/>
        <w:ind w:left="1440" w:firstLine="720"/>
        <w:jc w:val="both"/>
        <w:rPr>
          <w:rFonts w:ascii="Times New Roman" w:eastAsia="Calibri" w:hAnsi="Times New Roman" w:cs="Times New Roman"/>
          <w:b/>
          <w:bCs/>
        </w:rPr>
      </w:pPr>
    </w:p>
    <w:p w14:paraId="438D6C3B" w14:textId="77777777" w:rsidR="00703566" w:rsidRPr="00703566" w:rsidRDefault="00703566" w:rsidP="00703566">
      <w:pPr>
        <w:spacing w:line="276" w:lineRule="auto"/>
        <w:jc w:val="both"/>
        <w:rPr>
          <w:rFonts w:ascii="Times New Roman" w:eastAsia="Calibri" w:hAnsi="Times New Roman" w:cs="Times New Roman"/>
          <w:lang w:val="en-US"/>
        </w:rPr>
      </w:pPr>
    </w:p>
    <w:p w14:paraId="237DFEE2" w14:textId="77777777" w:rsidR="00703566" w:rsidRPr="00703566" w:rsidRDefault="00703566" w:rsidP="00703566">
      <w:pPr>
        <w:spacing w:line="276" w:lineRule="auto"/>
        <w:jc w:val="both"/>
        <w:rPr>
          <w:rFonts w:ascii="Times New Roman" w:hAnsi="Times New Roman" w:cs="Times New Roman"/>
          <w:lang w:val="en-US"/>
        </w:rPr>
      </w:pPr>
    </w:p>
    <w:p w14:paraId="33A7E9B6" w14:textId="77777777" w:rsidR="00703566" w:rsidRPr="00703566" w:rsidRDefault="00703566" w:rsidP="00703566">
      <w:pPr>
        <w:spacing w:line="276" w:lineRule="auto"/>
        <w:jc w:val="both"/>
      </w:pPr>
    </w:p>
    <w:p w14:paraId="4BBDBB24" w14:textId="77777777" w:rsidR="00703566" w:rsidRPr="00703566" w:rsidRDefault="00703566" w:rsidP="00703566">
      <w:pPr>
        <w:spacing w:line="276" w:lineRule="auto"/>
        <w:jc w:val="both"/>
      </w:pPr>
    </w:p>
    <w:p w14:paraId="48C12D9E" w14:textId="77777777" w:rsidR="00703566" w:rsidRPr="00703566" w:rsidRDefault="00703566" w:rsidP="00703566">
      <w:pPr>
        <w:spacing w:line="276" w:lineRule="auto"/>
        <w:jc w:val="both"/>
      </w:pPr>
    </w:p>
    <w:p w14:paraId="35FFE290" w14:textId="77777777" w:rsidR="00703566" w:rsidRPr="00703566" w:rsidRDefault="00703566" w:rsidP="00703566">
      <w:pPr>
        <w:spacing w:line="276" w:lineRule="auto"/>
        <w:jc w:val="both"/>
      </w:pPr>
    </w:p>
    <w:p w14:paraId="34A371D3" w14:textId="77777777" w:rsidR="00703566" w:rsidRPr="00703566" w:rsidRDefault="00703566" w:rsidP="00703566">
      <w:pPr>
        <w:spacing w:line="276" w:lineRule="auto"/>
        <w:jc w:val="both"/>
      </w:pPr>
    </w:p>
    <w:p w14:paraId="7D527860" w14:textId="77777777" w:rsidR="00703566" w:rsidRPr="00703566" w:rsidRDefault="00703566" w:rsidP="00703566">
      <w:pPr>
        <w:spacing w:line="276" w:lineRule="auto"/>
        <w:jc w:val="both"/>
      </w:pPr>
    </w:p>
    <w:p w14:paraId="5FE0FB13" w14:textId="77777777" w:rsidR="00703566" w:rsidRPr="00703566" w:rsidRDefault="00703566" w:rsidP="00703566">
      <w:pPr>
        <w:spacing w:line="276" w:lineRule="auto"/>
        <w:jc w:val="both"/>
      </w:pPr>
    </w:p>
    <w:p w14:paraId="550D0003" w14:textId="77777777" w:rsidR="00703566" w:rsidRPr="00703566" w:rsidRDefault="00703566" w:rsidP="00703566">
      <w:pPr>
        <w:spacing w:line="360" w:lineRule="auto"/>
      </w:pPr>
    </w:p>
    <w:p w14:paraId="6EC65372" w14:textId="77777777" w:rsidR="00703566" w:rsidRPr="00703566" w:rsidRDefault="00703566" w:rsidP="00703566">
      <w:pPr>
        <w:spacing w:line="360" w:lineRule="auto"/>
        <w:jc w:val="center"/>
        <w:rPr>
          <w:rFonts w:ascii="Times New Roman" w:hAnsi="Times New Roman" w:cs="Times New Roman"/>
          <w:b/>
          <w:bCs/>
          <w:sz w:val="56"/>
          <w:szCs w:val="56"/>
        </w:rPr>
      </w:pPr>
    </w:p>
    <w:p w14:paraId="497C2CE2" w14:textId="77777777" w:rsidR="00703566" w:rsidRPr="00703566" w:rsidRDefault="00703566" w:rsidP="00703566">
      <w:pPr>
        <w:spacing w:line="360" w:lineRule="auto"/>
        <w:jc w:val="center"/>
        <w:rPr>
          <w:rFonts w:ascii="Times New Roman" w:hAnsi="Times New Roman" w:cs="Times New Roman"/>
          <w:b/>
          <w:bCs/>
          <w:sz w:val="56"/>
          <w:szCs w:val="56"/>
        </w:rPr>
      </w:pPr>
    </w:p>
    <w:p w14:paraId="3BD2A64E" w14:textId="77777777" w:rsidR="00703566" w:rsidRPr="00703566" w:rsidRDefault="00703566" w:rsidP="00703566">
      <w:pPr>
        <w:spacing w:line="360" w:lineRule="auto"/>
        <w:jc w:val="center"/>
        <w:rPr>
          <w:rFonts w:ascii="Times New Roman" w:hAnsi="Times New Roman" w:cs="Times New Roman"/>
          <w:b/>
          <w:bCs/>
          <w:sz w:val="56"/>
          <w:szCs w:val="56"/>
        </w:rPr>
      </w:pPr>
      <w:r w:rsidRPr="00703566">
        <w:rPr>
          <w:rFonts w:ascii="Times New Roman" w:hAnsi="Times New Roman" w:cs="Times New Roman"/>
          <w:b/>
          <w:bCs/>
          <w:sz w:val="56"/>
          <w:szCs w:val="56"/>
        </w:rPr>
        <w:t>INTRODUCTION</w:t>
      </w:r>
    </w:p>
    <w:p w14:paraId="1B42CDC3" w14:textId="77777777" w:rsidR="00703566" w:rsidRPr="00703566" w:rsidRDefault="00703566" w:rsidP="00703566">
      <w:pPr>
        <w:spacing w:line="360" w:lineRule="auto"/>
        <w:jc w:val="center"/>
        <w:rPr>
          <w:rFonts w:ascii="Times New Roman" w:hAnsi="Times New Roman" w:cs="Times New Roman"/>
          <w:b/>
          <w:bCs/>
          <w:sz w:val="56"/>
          <w:szCs w:val="56"/>
        </w:rPr>
      </w:pPr>
    </w:p>
    <w:p w14:paraId="6CDC79FE" w14:textId="77777777" w:rsidR="00703566" w:rsidRPr="00703566" w:rsidRDefault="00703566" w:rsidP="00703566">
      <w:pPr>
        <w:spacing w:line="360" w:lineRule="auto"/>
        <w:jc w:val="center"/>
        <w:rPr>
          <w:rFonts w:ascii="Times New Roman" w:hAnsi="Times New Roman" w:cs="Times New Roman"/>
          <w:b/>
          <w:bCs/>
          <w:sz w:val="56"/>
          <w:szCs w:val="56"/>
        </w:rPr>
      </w:pPr>
    </w:p>
    <w:p w14:paraId="61410267" w14:textId="77777777" w:rsidR="00703566" w:rsidRPr="00703566" w:rsidRDefault="00703566" w:rsidP="00703566">
      <w:pPr>
        <w:spacing w:line="360" w:lineRule="auto"/>
        <w:jc w:val="center"/>
        <w:rPr>
          <w:rFonts w:ascii="Times New Roman" w:hAnsi="Times New Roman" w:cs="Times New Roman"/>
          <w:b/>
          <w:bCs/>
          <w:sz w:val="56"/>
          <w:szCs w:val="56"/>
        </w:rPr>
      </w:pPr>
    </w:p>
    <w:p w14:paraId="16061072" w14:textId="77777777" w:rsidR="00703566" w:rsidRPr="00703566" w:rsidRDefault="00703566" w:rsidP="00703566">
      <w:pPr>
        <w:spacing w:line="360" w:lineRule="auto"/>
        <w:jc w:val="center"/>
        <w:rPr>
          <w:rFonts w:ascii="Times New Roman" w:hAnsi="Times New Roman" w:cs="Times New Roman"/>
          <w:b/>
          <w:bCs/>
          <w:sz w:val="56"/>
          <w:szCs w:val="56"/>
        </w:rPr>
      </w:pPr>
    </w:p>
    <w:p w14:paraId="01B1B5E4" w14:textId="77777777" w:rsidR="00703566" w:rsidRPr="00703566" w:rsidRDefault="00703566" w:rsidP="00703566">
      <w:pPr>
        <w:spacing w:line="360" w:lineRule="auto"/>
        <w:jc w:val="center"/>
        <w:rPr>
          <w:rFonts w:ascii="Times New Roman" w:hAnsi="Times New Roman" w:cs="Times New Roman"/>
          <w:b/>
          <w:bCs/>
          <w:sz w:val="56"/>
          <w:szCs w:val="56"/>
        </w:rPr>
      </w:pPr>
    </w:p>
    <w:p w14:paraId="199BA274" w14:textId="77777777" w:rsidR="00703566" w:rsidRPr="00703566" w:rsidRDefault="00703566" w:rsidP="00703566">
      <w:pPr>
        <w:spacing w:line="360" w:lineRule="auto"/>
        <w:jc w:val="center"/>
        <w:rPr>
          <w:rFonts w:ascii="Times New Roman" w:hAnsi="Times New Roman" w:cs="Times New Roman"/>
          <w:b/>
          <w:bCs/>
          <w:sz w:val="56"/>
          <w:szCs w:val="56"/>
        </w:rPr>
      </w:pPr>
    </w:p>
    <w:p w14:paraId="02B3FF95" w14:textId="77777777" w:rsidR="00703566" w:rsidRPr="00703566" w:rsidRDefault="00703566" w:rsidP="00703566">
      <w:pPr>
        <w:spacing w:after="200" w:line="480" w:lineRule="auto"/>
        <w:jc w:val="both"/>
        <w:rPr>
          <w:rFonts w:ascii="Times New Roman" w:hAnsi="Times New Roman" w:cs="Times New Roman"/>
          <w:b/>
          <w:bCs/>
          <w:sz w:val="56"/>
          <w:szCs w:val="56"/>
        </w:rPr>
      </w:pPr>
    </w:p>
    <w:p w14:paraId="4E60AD87" w14:textId="77777777" w:rsidR="00703566" w:rsidRPr="00703566" w:rsidRDefault="00703566" w:rsidP="00703566">
      <w:pPr>
        <w:spacing w:after="0" w:line="480" w:lineRule="auto"/>
        <w:jc w:val="center"/>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lastRenderedPageBreak/>
        <w:t>CHAPTER – 1</w:t>
      </w:r>
    </w:p>
    <w:p w14:paraId="6DEDE8F0" w14:textId="77777777" w:rsidR="00703566" w:rsidRPr="00703566" w:rsidRDefault="00703566" w:rsidP="00703566">
      <w:pPr>
        <w:spacing w:after="0" w:line="480" w:lineRule="auto"/>
        <w:jc w:val="center"/>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t>INTRODUCTION</w:t>
      </w:r>
    </w:p>
    <w:p w14:paraId="5B0E2850"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Covid 19 is the ongoing epidemic in the world that alters the life of every human being. In 2020 March World Health Organization declared the uprising of corona disease as a global pandemic. COVID-19 is caused by a new beta coronavirus strain (SARS-CoV-2) that was discovered in Wuhan, China, in 2019 (</w:t>
      </w:r>
      <w:proofErr w:type="spellStart"/>
      <w:r w:rsidRPr="00703566">
        <w:rPr>
          <w:rFonts w:ascii="Times New Roman" w:eastAsia="Times New Roman" w:hAnsi="Times New Roman" w:cs="Times New Roman"/>
          <w:color w:val="0E101A"/>
          <w:sz w:val="24"/>
          <w:szCs w:val="24"/>
          <w:lang w:eastAsia="en-IN"/>
        </w:rPr>
        <w:t>Rothan</w:t>
      </w:r>
      <w:proofErr w:type="spellEnd"/>
      <w:r w:rsidRPr="00703566">
        <w:rPr>
          <w:rFonts w:ascii="Times New Roman" w:eastAsia="Times New Roman" w:hAnsi="Times New Roman" w:cs="Times New Roman"/>
          <w:color w:val="0E101A"/>
          <w:sz w:val="24"/>
          <w:szCs w:val="24"/>
          <w:lang w:eastAsia="en-IN"/>
        </w:rPr>
        <w:t xml:space="preserve"> &amp; </w:t>
      </w:r>
      <w:proofErr w:type="spellStart"/>
      <w:r w:rsidRPr="00703566">
        <w:rPr>
          <w:rFonts w:ascii="Times New Roman" w:eastAsia="Times New Roman" w:hAnsi="Times New Roman" w:cs="Times New Roman"/>
          <w:color w:val="0E101A"/>
          <w:sz w:val="24"/>
          <w:szCs w:val="24"/>
          <w:lang w:eastAsia="en-IN"/>
        </w:rPr>
        <w:t>Byrareddy</w:t>
      </w:r>
      <w:proofErr w:type="spellEnd"/>
      <w:r w:rsidRPr="00703566">
        <w:rPr>
          <w:rFonts w:ascii="Times New Roman" w:eastAsia="Times New Roman" w:hAnsi="Times New Roman" w:cs="Times New Roman"/>
          <w:color w:val="0E101A"/>
          <w:sz w:val="24"/>
          <w:szCs w:val="24"/>
          <w:lang w:eastAsia="en-IN"/>
        </w:rPr>
        <w:t xml:space="preserve">, 2020). According to virus genome sequencing studies, the bat is suspected of being the virus's natural host, and infection could be transmitted from bats to humans through unknown intermediate hosts such as reptiles and snakes. COVID-19 is spread from person to person by droplet infection during the incubation period or after clinical symptoms such as fever, cough, sneezing, sputum, </w:t>
      </w:r>
      <w:proofErr w:type="spellStart"/>
      <w:r w:rsidRPr="00703566">
        <w:rPr>
          <w:rFonts w:ascii="Times New Roman" w:eastAsia="Times New Roman" w:hAnsi="Times New Roman" w:cs="Times New Roman"/>
          <w:color w:val="0E101A"/>
          <w:sz w:val="24"/>
          <w:szCs w:val="24"/>
          <w:lang w:eastAsia="en-IN"/>
        </w:rPr>
        <w:t>dyspnea</w:t>
      </w:r>
      <w:proofErr w:type="spellEnd"/>
      <w:r w:rsidRPr="00703566">
        <w:rPr>
          <w:rFonts w:ascii="Times New Roman" w:eastAsia="Times New Roman" w:hAnsi="Times New Roman" w:cs="Times New Roman"/>
          <w:color w:val="0E101A"/>
          <w:sz w:val="24"/>
          <w:szCs w:val="24"/>
          <w:lang w:eastAsia="en-IN"/>
        </w:rPr>
        <w:t>, and pneumonia, as well as through infected fomites (Prasad et al., 2020).</w:t>
      </w:r>
    </w:p>
    <w:p w14:paraId="492D58E8"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According to WHO, there were 266,073 confirmed cases and 11,184 confirmed deaths in 183 countries as of March 21, 2020. On April 22nd, the World Health Organization (WHO) released regional reports on COVID cases and deaths, reporting a total of 2,471,136 confirmed cases and 169,006 deaths worldwide. On January 30, 2020, India recorded the first case of the COVID pandemic. The Indian Council of Medical Research (ICMR) released data on March 23 showing that out of 18,383 samples screened from 17,493 people, 415 were positive and 7 people died from COVID-19. To prevent the virus from spreading in the world, India introduced a 14-hour voluntary public curfew on March 22, 2020, followed by a 21-day nationwide lockout on March 24, affecting India's entire 1.3 billion population.</w:t>
      </w:r>
    </w:p>
    <w:p w14:paraId="6BB89FEF"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The most vulnerable category to COVID-19 is older adults and those with underlying medical problems that are chronic (</w:t>
      </w:r>
      <w:proofErr w:type="spellStart"/>
      <w:r w:rsidRPr="00703566">
        <w:rPr>
          <w:rFonts w:ascii="Times New Roman" w:eastAsia="Times New Roman" w:hAnsi="Times New Roman" w:cs="Times New Roman"/>
          <w:color w:val="0E101A"/>
          <w:sz w:val="24"/>
          <w:szCs w:val="24"/>
          <w:lang w:eastAsia="en-IN"/>
        </w:rPr>
        <w:t>D’Adamo</w:t>
      </w:r>
      <w:proofErr w:type="spellEnd"/>
      <w:r w:rsidRPr="00703566">
        <w:rPr>
          <w:rFonts w:ascii="Times New Roman" w:eastAsia="Times New Roman" w:hAnsi="Times New Roman" w:cs="Times New Roman"/>
          <w:color w:val="0E101A"/>
          <w:sz w:val="24"/>
          <w:szCs w:val="24"/>
          <w:lang w:eastAsia="en-IN"/>
        </w:rPr>
        <w:t xml:space="preserve"> et al., 2020). During the COVID – 19 pandemic geriatrics are at greater risk of the SARS-</w:t>
      </w:r>
      <w:proofErr w:type="spellStart"/>
      <w:r w:rsidRPr="00703566">
        <w:rPr>
          <w:rFonts w:ascii="Times New Roman" w:eastAsia="Times New Roman" w:hAnsi="Times New Roman" w:cs="Times New Roman"/>
          <w:color w:val="0E101A"/>
          <w:sz w:val="24"/>
          <w:szCs w:val="24"/>
          <w:lang w:eastAsia="en-IN"/>
        </w:rPr>
        <w:t>CoV</w:t>
      </w:r>
      <w:proofErr w:type="spellEnd"/>
      <w:r w:rsidRPr="00703566">
        <w:rPr>
          <w:rFonts w:ascii="Times New Roman" w:eastAsia="Times New Roman" w:hAnsi="Times New Roman" w:cs="Times New Roman"/>
          <w:color w:val="0E101A"/>
          <w:sz w:val="24"/>
          <w:szCs w:val="24"/>
          <w:lang w:eastAsia="en-IN"/>
        </w:rPr>
        <w:t xml:space="preserve"> -2. Some studies show that the incidence of COVID-19 is higher in the geriatric population (Nag et al., 2021). Because of developing physiologic changes of maturing, diminished invulnerable capacity, multi-organ failure chronic diseases, </w:t>
      </w:r>
      <w:r w:rsidRPr="00703566">
        <w:rPr>
          <w:rFonts w:ascii="Times New Roman" w:eastAsia="Times New Roman" w:hAnsi="Times New Roman" w:cs="Times New Roman"/>
          <w:color w:val="0E101A"/>
          <w:sz w:val="24"/>
          <w:szCs w:val="24"/>
          <w:lang w:eastAsia="en-IN"/>
        </w:rPr>
        <w:lastRenderedPageBreak/>
        <w:t>etc, that increase the risk of coronavirus. Geriatrics are more vulnerable to experience the serious effects of coronavirus. The aging process adversely affects pulmonary physiology, pathology, and function during respiratory infections. Old age compromised immunity, hearing loss, dementia, refractive errors, chronic obstructive pulmonary disease, diabetes, depression, and chronic diseases are the main predisposing factors for these people. Immunosuppression decreased organ function, and inadequate healthcare management has increased the suffering of the elderly (Tan et al., 2019).</w:t>
      </w:r>
    </w:p>
    <w:p w14:paraId="24DC83FE"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People over the age of 60 are considered as senior citizens. According to the World Health Organization, most developed world countries define old age as 60 years or more. However, assigning the age range of 55 to over 100 as "aging" means that there must be a lot of things in common during this period (Angela et al.,2009). According to WHO, the expected population of old age is 2 billion by 2050, the population of geriatrics is increased day by day. Today 1.25 million people are aged in which 80 percent of old age are living in low- and middle-income countries (WHO, 2019). The adverse effects of the corona are more dominant in low-income or developing countries. Because the population of old age is comparatively higher in developing countries and inadequate health care facilities also affect the people.</w:t>
      </w:r>
    </w:p>
    <w:p w14:paraId="3AC07DF7"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In India, the elderly population has gradually risen, nearly doubling in the last 20 years. Though India's total population is expected to increase by 40% between 2006 and 2050, the elderly population is expected to increase by 270 percent (</w:t>
      </w:r>
      <w:proofErr w:type="spellStart"/>
      <w:r w:rsidRPr="00703566">
        <w:rPr>
          <w:rFonts w:ascii="Times New Roman" w:eastAsia="Times New Roman" w:hAnsi="Times New Roman" w:cs="Times New Roman"/>
          <w:color w:val="0E101A"/>
          <w:sz w:val="24"/>
          <w:szCs w:val="24"/>
          <w:lang w:eastAsia="en-IN"/>
        </w:rPr>
        <w:t>Balasundaram</w:t>
      </w:r>
      <w:proofErr w:type="spellEnd"/>
      <w:r w:rsidRPr="00703566">
        <w:rPr>
          <w:rFonts w:ascii="Times New Roman" w:eastAsia="Times New Roman" w:hAnsi="Times New Roman" w:cs="Times New Roman"/>
          <w:color w:val="0E101A"/>
          <w:sz w:val="24"/>
          <w:szCs w:val="24"/>
          <w:lang w:eastAsia="en-IN"/>
        </w:rPr>
        <w:t xml:space="preserve"> et al., 2020). When we compare the growth rates of the elderly population in various Indian states, we can see that there are differences. The elderly population is growing at the fastest rate in southern states like Andhra Pradesh, Karnataka, Kerala, and Tamil Nadu. Kerala has the fastest-growing elderly population among the southern states </w:t>
      </w:r>
      <w:proofErr w:type="gramStart"/>
      <w:r w:rsidRPr="00703566">
        <w:rPr>
          <w:rFonts w:ascii="Times New Roman" w:eastAsia="Times New Roman" w:hAnsi="Times New Roman" w:cs="Times New Roman"/>
          <w:color w:val="0E101A"/>
          <w:sz w:val="24"/>
          <w:szCs w:val="24"/>
          <w:lang w:eastAsia="en-IN"/>
        </w:rPr>
        <w:t>( India</w:t>
      </w:r>
      <w:proofErr w:type="gramEnd"/>
      <w:r w:rsidRPr="00703566">
        <w:rPr>
          <w:rFonts w:ascii="Times New Roman" w:eastAsia="Times New Roman" w:hAnsi="Times New Roman" w:cs="Times New Roman"/>
          <w:color w:val="0E101A"/>
          <w:sz w:val="24"/>
          <w:szCs w:val="24"/>
          <w:lang w:eastAsia="en-IN"/>
        </w:rPr>
        <w:t xml:space="preserve"> - Aging Population by State 2011</w:t>
      </w:r>
      <w:r w:rsidRPr="00703566">
        <w:rPr>
          <w:rFonts w:ascii="Times New Roman" w:eastAsia="Times New Roman" w:hAnsi="Times New Roman" w:cs="Times New Roman"/>
          <w:i/>
          <w:iCs/>
          <w:color w:val="0E101A"/>
          <w:sz w:val="24"/>
          <w:szCs w:val="24"/>
          <w:lang w:eastAsia="en-IN"/>
        </w:rPr>
        <w:t>).</w:t>
      </w:r>
      <w:r w:rsidRPr="00703566">
        <w:rPr>
          <w:rFonts w:ascii="Times New Roman" w:eastAsia="Times New Roman" w:hAnsi="Times New Roman" w:cs="Times New Roman"/>
          <w:color w:val="0E101A"/>
          <w:sz w:val="24"/>
          <w:szCs w:val="24"/>
          <w:lang w:eastAsia="en-IN"/>
        </w:rPr>
        <w:t xml:space="preserve">In the next 20 years, India's demographic transformation from a young to an aging nation will be complete, with a 20 percent aging population. Our country's cultural and regional diversity is reflected in </w:t>
      </w:r>
      <w:r w:rsidRPr="00703566">
        <w:rPr>
          <w:rFonts w:ascii="Times New Roman" w:eastAsia="Times New Roman" w:hAnsi="Times New Roman" w:cs="Times New Roman"/>
          <w:color w:val="0E101A"/>
          <w:sz w:val="24"/>
          <w:szCs w:val="24"/>
          <w:lang w:eastAsia="en-IN"/>
        </w:rPr>
        <w:lastRenderedPageBreak/>
        <w:t>the diversity of our elderly population. The steady rise in the number of elderly people in the population is due to the decrease in fertility and mortality rates, as well as increased life expectancy. An aging population poses new economic problems, requiring the government to invest more in old-age pensions, health-care programs, and social-benefits programs to meet the needs of the elderly.</w:t>
      </w:r>
    </w:p>
    <w:p w14:paraId="05AD4CA4"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Kerala was the first state in India affected by COVID-19, and the first instance of coronavirus was reported on 30 January in Thrissur District In 2020. By the beginning of March, the state soon had the largest number of active cases, predominantly in India, owing to a large number of imported cases from other states and nations. During the epidemic, the quality of life of people in Kerala has improved significantly through government initiatives, which has a significant effect on the survival of the epidemic period. Even before the first case of covid 19, Kerala introduced preventive strategies to further control the epidemic (Menon et al.,2020). Governments all over the world used a variety of tactics to combat the pandemic, including national lockout. While the goal was to avoid the virus from spreading, the abrupt implementation of lockdown could have harmed the already vulnerable elderly population.</w:t>
      </w:r>
    </w:p>
    <w:p w14:paraId="6461F63C"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According to government statistics on 21 January 24, 2021, the total confirmed cases are 870529, recovered cases are 796986, total death cases are 3545 and still active cases are 69771 reported in Kerala. According to the 2011 census, Kerala accommodates 4 million older adults. The census report shows that in India 8.6 percent of old adults are above 60, in which the share of Kerala elderly in the total older population is 4 percent which indicates that Kerala has the first rank in the elderly population. The chances of getting coronavirus among the elderly are more in Kerala. </w:t>
      </w:r>
    </w:p>
    <w:p w14:paraId="1D3040A7"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p>
    <w:p w14:paraId="5F2D0CE0"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p>
    <w:p w14:paraId="5E53CEC8" w14:textId="77777777" w:rsidR="00703566" w:rsidRPr="00703566" w:rsidRDefault="00703566" w:rsidP="00703566">
      <w:pPr>
        <w:spacing w:after="0" w:line="480" w:lineRule="auto"/>
        <w:jc w:val="both"/>
        <w:rPr>
          <w:rFonts w:ascii="Times New Roman" w:eastAsia="Times New Roman" w:hAnsi="Times New Roman" w:cs="Times New Roman"/>
          <w:b/>
          <w:bCs/>
          <w:color w:val="0E101A"/>
          <w:sz w:val="24"/>
          <w:szCs w:val="24"/>
          <w:lang w:eastAsia="en-IN"/>
        </w:rPr>
      </w:pPr>
    </w:p>
    <w:p w14:paraId="5030AD97"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lastRenderedPageBreak/>
        <w:t>SIGNIFICANCE OF STUDY</w:t>
      </w:r>
    </w:p>
    <w:p w14:paraId="76805903"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Coronavirus infection were new to everyone, it’s actual characteristics and effects of post-infection of coronavirus infection are unknown. This study helps to understand the characteristics and post-effect of coronavirus infection. Controlling and treating COVID-19 is difficult due to advanced age and underlying diseases. In 2019, 703 million people around the world were over the age of 65. COVID-19 is thought to be responsible for 18% of mortality in people over the age of 76. The introduction of effective preventive measures and possible strategies to protect against this disease in the geriatric population is compromised by frequent infections in older people, elevated disease severity, and increased mortality. Generally, psychological and physiological alterations frequently occur in the geriatric population. In this pandemic situation, the psychological and physiological may contribute to the severity of the disease and also worsen existing morbidities. Elders are physically and psychologically weak, thus family support is needed to support their life, and training staff and family in home-based rehabilitation services for elders is a necessity. Increased involvement of the elderly in society, increased acceptance of the elderly through combating ageism, continued enjoyment of home life in this pandemic period. </w:t>
      </w:r>
    </w:p>
    <w:p w14:paraId="34E3BC28"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t>OBJECTIVES</w:t>
      </w:r>
    </w:p>
    <w:p w14:paraId="1FB60BF2"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 xml:space="preserve">· To assess the nutrition and health profile of geriatrics at </w:t>
      </w:r>
      <w:proofErr w:type="gramStart"/>
      <w:r w:rsidRPr="00703566">
        <w:rPr>
          <w:rFonts w:ascii="Times New Roman" w:eastAsia="Times New Roman" w:hAnsi="Times New Roman" w:cs="Times New Roman"/>
          <w:color w:val="0E101A"/>
          <w:sz w:val="24"/>
          <w:szCs w:val="24"/>
          <w:lang w:eastAsia="en-IN"/>
        </w:rPr>
        <w:t>pre</w:t>
      </w:r>
      <w:proofErr w:type="gramEnd"/>
      <w:r w:rsidRPr="00703566">
        <w:rPr>
          <w:rFonts w:ascii="Times New Roman" w:eastAsia="Times New Roman" w:hAnsi="Times New Roman" w:cs="Times New Roman"/>
          <w:color w:val="0E101A"/>
          <w:sz w:val="24"/>
          <w:szCs w:val="24"/>
          <w:lang w:eastAsia="en-IN"/>
        </w:rPr>
        <w:t xml:space="preserve"> and post-pandemic period.</w:t>
      </w:r>
    </w:p>
    <w:p w14:paraId="25F50C59"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 To determine the reasons for COVID 19 among geriatrics.</w:t>
      </w:r>
    </w:p>
    <w:p w14:paraId="44E7661C"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 To examine the psychological well-being during COVID- 19 among geriatrics.</w:t>
      </w:r>
    </w:p>
    <w:p w14:paraId="7C45075A"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 To find the treatment modality adopted for geriatric during COVID- 19 and strategies for fostering healthy aging.</w:t>
      </w:r>
    </w:p>
    <w:p w14:paraId="7F37F6F6" w14:textId="77777777" w:rsidR="00703566" w:rsidRPr="00703566" w:rsidRDefault="00703566" w:rsidP="00703566">
      <w:pPr>
        <w:spacing w:after="0" w:line="480" w:lineRule="auto"/>
        <w:jc w:val="both"/>
        <w:rPr>
          <w:rFonts w:ascii="Times New Roman" w:eastAsia="Times New Roman" w:hAnsi="Times New Roman" w:cs="Times New Roman"/>
          <w:b/>
          <w:bCs/>
          <w:color w:val="0E101A"/>
          <w:sz w:val="24"/>
          <w:szCs w:val="24"/>
          <w:lang w:eastAsia="en-IN"/>
        </w:rPr>
      </w:pPr>
    </w:p>
    <w:p w14:paraId="210A3188" w14:textId="77777777" w:rsidR="00703566" w:rsidRPr="00703566" w:rsidRDefault="00703566" w:rsidP="00703566">
      <w:pPr>
        <w:spacing w:after="0" w:line="480" w:lineRule="auto"/>
        <w:jc w:val="both"/>
        <w:rPr>
          <w:rFonts w:ascii="Times New Roman" w:eastAsia="Times New Roman" w:hAnsi="Times New Roman" w:cs="Times New Roman"/>
          <w:b/>
          <w:bCs/>
          <w:color w:val="0E101A"/>
          <w:sz w:val="24"/>
          <w:szCs w:val="24"/>
          <w:lang w:eastAsia="en-IN"/>
        </w:rPr>
      </w:pPr>
    </w:p>
    <w:p w14:paraId="1F1AF31E" w14:textId="77777777" w:rsidR="00703566" w:rsidRPr="00703566" w:rsidRDefault="00703566" w:rsidP="00703566">
      <w:pPr>
        <w:spacing w:after="0" w:line="480" w:lineRule="auto"/>
        <w:jc w:val="both"/>
        <w:rPr>
          <w:rFonts w:ascii="Times New Roman" w:eastAsia="Times New Roman" w:hAnsi="Times New Roman" w:cs="Times New Roman"/>
          <w:b/>
          <w:bCs/>
          <w:color w:val="0E101A"/>
          <w:sz w:val="24"/>
          <w:szCs w:val="24"/>
          <w:lang w:eastAsia="en-IN"/>
        </w:rPr>
      </w:pPr>
    </w:p>
    <w:p w14:paraId="67ED8F07" w14:textId="77777777" w:rsidR="00703566" w:rsidRPr="00703566" w:rsidRDefault="00703566" w:rsidP="00703566">
      <w:pPr>
        <w:spacing w:after="0" w:line="480" w:lineRule="auto"/>
        <w:jc w:val="both"/>
        <w:rPr>
          <w:rFonts w:ascii="Times New Roman" w:eastAsia="Times New Roman" w:hAnsi="Times New Roman" w:cs="Times New Roman"/>
          <w:b/>
          <w:bCs/>
          <w:color w:val="0E101A"/>
          <w:sz w:val="24"/>
          <w:szCs w:val="24"/>
          <w:lang w:eastAsia="en-IN"/>
        </w:rPr>
      </w:pPr>
      <w:r w:rsidRPr="00703566">
        <w:rPr>
          <w:rFonts w:ascii="Times New Roman" w:eastAsia="Times New Roman" w:hAnsi="Times New Roman" w:cs="Times New Roman"/>
          <w:b/>
          <w:bCs/>
          <w:color w:val="0E101A"/>
          <w:sz w:val="24"/>
          <w:szCs w:val="24"/>
          <w:lang w:eastAsia="en-IN"/>
        </w:rPr>
        <w:lastRenderedPageBreak/>
        <w:t>HYPOTHESIS OF THE STUDY</w:t>
      </w:r>
    </w:p>
    <w:p w14:paraId="1F94E42D" w14:textId="77777777" w:rsidR="00703566" w:rsidRPr="00703566" w:rsidRDefault="00703566" w:rsidP="00703566">
      <w:pPr>
        <w:spacing w:beforeAutospacing="1" w:after="100" w:afterAutospacing="1"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val="en-US" w:eastAsia="en-IN"/>
        </w:rPr>
        <w:t>Ho</w:t>
      </w:r>
      <w:r w:rsidRPr="00703566">
        <w:rPr>
          <w:rFonts w:ascii="Times New Roman" w:eastAsia="Times New Roman" w:hAnsi="Times New Roman" w:cs="Times New Roman"/>
          <w:color w:val="0E101A"/>
          <w:sz w:val="24"/>
          <w:szCs w:val="24"/>
          <w:lang w:val="en-US" w:eastAsia="en-IN"/>
        </w:rPr>
        <w:t>: COVID19 outbreak adversely affect nutritional and health status of geriatric and drastic changes in the dietary pattern and quality of life among the aged.</w:t>
      </w:r>
    </w:p>
    <w:p w14:paraId="2E0243A7" w14:textId="77777777" w:rsidR="00703566" w:rsidRPr="00703566" w:rsidRDefault="00703566" w:rsidP="00703566">
      <w:pPr>
        <w:spacing w:beforeAutospacing="1" w:after="100" w:afterAutospacing="1"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val="en-US" w:eastAsia="en-IN"/>
        </w:rPr>
        <w:t>Ho</w:t>
      </w:r>
      <w:r w:rsidRPr="00703566">
        <w:rPr>
          <w:rFonts w:ascii="Times New Roman" w:eastAsia="Times New Roman" w:hAnsi="Times New Roman" w:cs="Times New Roman"/>
          <w:color w:val="0E101A"/>
          <w:sz w:val="24"/>
          <w:szCs w:val="24"/>
          <w:lang w:val="en-US" w:eastAsia="en-IN"/>
        </w:rPr>
        <w:t>: COVID 19 aggravated the psychological complications among elderly</w:t>
      </w:r>
    </w:p>
    <w:p w14:paraId="27EA2514"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p>
    <w:p w14:paraId="5C9D27B6"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b/>
          <w:bCs/>
          <w:color w:val="0E101A"/>
          <w:sz w:val="24"/>
          <w:szCs w:val="24"/>
          <w:lang w:eastAsia="en-IN"/>
        </w:rPr>
        <w:t>                 </w:t>
      </w:r>
    </w:p>
    <w:p w14:paraId="14095AD8"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p>
    <w:p w14:paraId="45EECF42"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p>
    <w:p w14:paraId="7591F90E" w14:textId="77777777" w:rsidR="00703566" w:rsidRPr="00703566" w:rsidRDefault="00703566" w:rsidP="00703566">
      <w:pPr>
        <w:spacing w:after="0" w:line="480" w:lineRule="auto"/>
        <w:jc w:val="both"/>
        <w:rPr>
          <w:rFonts w:ascii="Times New Roman" w:eastAsia="Times New Roman" w:hAnsi="Times New Roman" w:cs="Times New Roman"/>
          <w:color w:val="0E101A"/>
          <w:sz w:val="24"/>
          <w:szCs w:val="24"/>
          <w:lang w:eastAsia="en-IN"/>
        </w:rPr>
      </w:pPr>
    </w:p>
    <w:p w14:paraId="7C0C855E"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07656DF3"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5937AE0F"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481D6AC9"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2B968C18"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49893DD9"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31169276"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49FD9088"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1F9E9F2E"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234D5F29"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6A486B41"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774781C3"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p>
    <w:p w14:paraId="0D4A1E4A" w14:textId="77777777" w:rsidR="00703566" w:rsidRPr="00703566" w:rsidRDefault="00703566" w:rsidP="00703566">
      <w:pPr>
        <w:spacing w:after="0" w:line="240" w:lineRule="auto"/>
        <w:rPr>
          <w:rFonts w:ascii="Times New Roman" w:eastAsia="Times New Roman" w:hAnsi="Times New Roman" w:cs="Times New Roman"/>
          <w:color w:val="0E101A"/>
          <w:sz w:val="24"/>
          <w:szCs w:val="24"/>
          <w:lang w:eastAsia="en-IN"/>
        </w:rPr>
      </w:pPr>
      <w:r w:rsidRPr="00703566">
        <w:rPr>
          <w:rFonts w:ascii="Times New Roman" w:eastAsia="Times New Roman" w:hAnsi="Times New Roman" w:cs="Times New Roman"/>
          <w:color w:val="0E101A"/>
          <w:sz w:val="24"/>
          <w:szCs w:val="24"/>
          <w:lang w:eastAsia="en-IN"/>
        </w:rPr>
        <w:tab/>
      </w:r>
    </w:p>
    <w:p w14:paraId="6F78A784"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02BF5A5C"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01FA2204"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73F79578"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7C2E1F43"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10723DA9"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09B43AAA"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623B3D0F"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15A25639"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0FD28028"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198B41E5"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0E6BACFC"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53D7FB44"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1FCF30A1" w14:textId="77777777" w:rsidR="00703566" w:rsidRPr="00703566" w:rsidRDefault="00703566" w:rsidP="00703566">
      <w:pPr>
        <w:spacing w:after="0" w:line="240" w:lineRule="auto"/>
        <w:ind w:firstLine="720"/>
        <w:rPr>
          <w:rFonts w:ascii="Times New Roman" w:eastAsia="Times New Roman" w:hAnsi="Times New Roman" w:cs="Times New Roman"/>
          <w:b/>
          <w:bCs/>
          <w:color w:val="0E101A"/>
          <w:sz w:val="56"/>
          <w:szCs w:val="56"/>
          <w:lang w:eastAsia="en-IN"/>
        </w:rPr>
      </w:pPr>
    </w:p>
    <w:p w14:paraId="6A894A8E" w14:textId="77777777" w:rsidR="00703566" w:rsidRPr="00703566" w:rsidRDefault="00703566" w:rsidP="00703566">
      <w:pPr>
        <w:spacing w:after="0" w:line="240" w:lineRule="auto"/>
        <w:ind w:firstLine="720"/>
        <w:rPr>
          <w:rFonts w:ascii="Times New Roman" w:eastAsia="Times New Roman" w:hAnsi="Times New Roman" w:cs="Times New Roman"/>
          <w:color w:val="0E101A"/>
          <w:sz w:val="56"/>
          <w:szCs w:val="56"/>
          <w:lang w:eastAsia="en-IN"/>
        </w:rPr>
      </w:pPr>
      <w:r w:rsidRPr="00703566">
        <w:rPr>
          <w:rFonts w:ascii="Times New Roman" w:eastAsia="Times New Roman" w:hAnsi="Times New Roman" w:cs="Times New Roman"/>
          <w:b/>
          <w:bCs/>
          <w:color w:val="0E101A"/>
          <w:sz w:val="56"/>
          <w:szCs w:val="56"/>
          <w:lang w:eastAsia="en-IN"/>
        </w:rPr>
        <w:t>REVIEW OF LITERATURE</w:t>
      </w:r>
    </w:p>
    <w:p w14:paraId="2FFE2106" w14:textId="77777777" w:rsidR="00703566" w:rsidRPr="00703566" w:rsidRDefault="00703566" w:rsidP="00703566">
      <w:pPr>
        <w:rPr>
          <w:sz w:val="56"/>
          <w:szCs w:val="56"/>
        </w:rPr>
      </w:pPr>
    </w:p>
    <w:p w14:paraId="4345AB30" w14:textId="77777777" w:rsidR="00703566" w:rsidRPr="00703566" w:rsidRDefault="00703566" w:rsidP="00703566">
      <w:pPr>
        <w:rPr>
          <w:sz w:val="56"/>
          <w:szCs w:val="56"/>
        </w:rPr>
      </w:pPr>
    </w:p>
    <w:p w14:paraId="62C51944" w14:textId="77777777" w:rsidR="00703566" w:rsidRPr="00703566" w:rsidRDefault="00703566" w:rsidP="00703566">
      <w:pPr>
        <w:rPr>
          <w:sz w:val="56"/>
          <w:szCs w:val="56"/>
        </w:rPr>
      </w:pPr>
    </w:p>
    <w:p w14:paraId="3E6734D2" w14:textId="77777777" w:rsidR="00703566" w:rsidRPr="00703566" w:rsidRDefault="00703566" w:rsidP="00703566">
      <w:pPr>
        <w:rPr>
          <w:sz w:val="56"/>
          <w:szCs w:val="56"/>
        </w:rPr>
      </w:pPr>
    </w:p>
    <w:p w14:paraId="18624471" w14:textId="77777777" w:rsidR="00703566" w:rsidRPr="00703566" w:rsidRDefault="00703566" w:rsidP="00703566">
      <w:pPr>
        <w:rPr>
          <w:sz w:val="56"/>
          <w:szCs w:val="56"/>
        </w:rPr>
      </w:pPr>
    </w:p>
    <w:p w14:paraId="0CE868F6" w14:textId="77777777" w:rsidR="00703566" w:rsidRPr="00703566" w:rsidRDefault="00703566" w:rsidP="00703566">
      <w:pPr>
        <w:rPr>
          <w:sz w:val="56"/>
          <w:szCs w:val="56"/>
        </w:rPr>
      </w:pPr>
    </w:p>
    <w:p w14:paraId="4B0F6AE6" w14:textId="77777777" w:rsidR="00703566" w:rsidRPr="00703566" w:rsidRDefault="00703566" w:rsidP="00703566">
      <w:pPr>
        <w:rPr>
          <w:sz w:val="56"/>
          <w:szCs w:val="56"/>
        </w:rPr>
      </w:pPr>
    </w:p>
    <w:p w14:paraId="2984E8FA" w14:textId="77777777" w:rsidR="00703566" w:rsidRPr="00703566" w:rsidRDefault="00703566" w:rsidP="00703566">
      <w:pPr>
        <w:rPr>
          <w:sz w:val="56"/>
          <w:szCs w:val="56"/>
        </w:rPr>
      </w:pPr>
    </w:p>
    <w:p w14:paraId="6AEA761D" w14:textId="77777777" w:rsidR="00703566" w:rsidRPr="00703566" w:rsidRDefault="00703566" w:rsidP="00703566">
      <w:pPr>
        <w:rPr>
          <w:sz w:val="56"/>
          <w:szCs w:val="56"/>
        </w:rPr>
      </w:pPr>
    </w:p>
    <w:p w14:paraId="3FC238B0" w14:textId="77777777" w:rsidR="00703566" w:rsidRPr="00703566" w:rsidRDefault="00703566" w:rsidP="00703566">
      <w:pPr>
        <w:spacing w:line="480" w:lineRule="auto"/>
        <w:jc w:val="both"/>
        <w:rPr>
          <w:sz w:val="56"/>
          <w:szCs w:val="56"/>
        </w:rPr>
      </w:pPr>
    </w:p>
    <w:p w14:paraId="19057F0C" w14:textId="77777777" w:rsidR="00703566" w:rsidRPr="00703566" w:rsidRDefault="00703566" w:rsidP="00703566">
      <w:pPr>
        <w:spacing w:line="480" w:lineRule="auto"/>
        <w:jc w:val="center"/>
        <w:rPr>
          <w:rFonts w:ascii="Times New Roman" w:hAnsi="Times New Roman" w:cs="Times New Roman"/>
          <w:sz w:val="24"/>
          <w:szCs w:val="24"/>
        </w:rPr>
      </w:pPr>
      <w:r w:rsidRPr="00703566">
        <w:rPr>
          <w:rFonts w:ascii="Times New Roman" w:hAnsi="Times New Roman" w:cs="Times New Roman"/>
          <w:b/>
          <w:bCs/>
          <w:sz w:val="24"/>
          <w:szCs w:val="24"/>
        </w:rPr>
        <w:lastRenderedPageBreak/>
        <w:t>CHAPTER -2</w:t>
      </w:r>
    </w:p>
    <w:p w14:paraId="02E7B14D" w14:textId="77777777" w:rsidR="00703566" w:rsidRPr="00703566" w:rsidRDefault="00703566" w:rsidP="00703566">
      <w:pPr>
        <w:spacing w:line="480" w:lineRule="auto"/>
        <w:jc w:val="center"/>
        <w:rPr>
          <w:rFonts w:ascii="Times New Roman" w:hAnsi="Times New Roman" w:cs="Times New Roman"/>
          <w:sz w:val="24"/>
          <w:szCs w:val="24"/>
        </w:rPr>
      </w:pPr>
      <w:r w:rsidRPr="00703566">
        <w:rPr>
          <w:rFonts w:ascii="Times New Roman" w:hAnsi="Times New Roman" w:cs="Times New Roman"/>
          <w:b/>
          <w:bCs/>
          <w:sz w:val="24"/>
          <w:szCs w:val="24"/>
        </w:rPr>
        <w:t>REVIEW OF LITERATURE</w:t>
      </w:r>
    </w:p>
    <w:p w14:paraId="0D898475"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The relevant literature on the topic </w:t>
      </w:r>
      <w:r w:rsidRPr="00703566">
        <w:rPr>
          <w:rFonts w:ascii="Times New Roman" w:hAnsi="Times New Roman" w:cs="Times New Roman"/>
          <w:b/>
          <w:bCs/>
          <w:sz w:val="24"/>
          <w:szCs w:val="24"/>
        </w:rPr>
        <w:t>“Determinants of Covid Outbreak and Nutrition Profile of Geriatric Covid Patients in Coastal Areas of Alappuzha”</w:t>
      </w:r>
      <w:r w:rsidRPr="00703566">
        <w:rPr>
          <w:rFonts w:ascii="Times New Roman" w:hAnsi="Times New Roman" w:cs="Times New Roman"/>
          <w:sz w:val="24"/>
          <w:szCs w:val="24"/>
        </w:rPr>
        <w:t xml:space="preserve"> is critically reviewed and presented under the following headings.</w:t>
      </w:r>
    </w:p>
    <w:p w14:paraId="6FAB39CC"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2.1 The Determinants of COVID 19 In Geriatric Population</w:t>
      </w:r>
    </w:p>
    <w:p w14:paraId="16D527EB"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2.1.1 Epigenetic changes in old age</w:t>
      </w:r>
    </w:p>
    <w:p w14:paraId="0A692FED"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2.1.2 The Immunocompetency, Nutritional factors, and Incidence of Corona Virus Infection</w:t>
      </w:r>
    </w:p>
    <w:p w14:paraId="00604A8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2.1.3 Socio-economic factors</w:t>
      </w:r>
    </w:p>
    <w:p w14:paraId="0916DB35"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2.1.4 The Impact of comorbidities in Covid 19 among elder people</w:t>
      </w:r>
    </w:p>
    <w:p w14:paraId="4CE43767"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2.1.5 Negligence of COVID 19 protocol among geriatric population</w:t>
      </w:r>
    </w:p>
    <w:p w14:paraId="6A2E46A5"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2.2 Physiological symptoms associated with COVID 19</w:t>
      </w:r>
    </w:p>
    <w:p w14:paraId="0C59098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2.3 Psychological symptoms associated with COVID 19 in Geriatric population</w:t>
      </w:r>
    </w:p>
    <w:p w14:paraId="4ECE3A0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2.4 Pathogenesis of Corona Virus infection in Geriatric</w:t>
      </w:r>
    </w:p>
    <w:p w14:paraId="589435A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2.5 Long Term effects of COVID -19 Among the geriatric population</w:t>
      </w:r>
    </w:p>
    <w:p w14:paraId="48DAC96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            </w:t>
      </w:r>
      <w:r w:rsidRPr="00703566">
        <w:rPr>
          <w:rFonts w:ascii="Times New Roman" w:hAnsi="Times New Roman" w:cs="Times New Roman"/>
          <w:sz w:val="24"/>
          <w:szCs w:val="24"/>
        </w:rPr>
        <w:t>2.5.1 Post Covid Effect on Cardiac Health</w:t>
      </w:r>
    </w:p>
    <w:p w14:paraId="0C6CE1FD"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2.5.</w:t>
      </w:r>
      <w:r w:rsidRPr="00703566">
        <w:rPr>
          <w:rFonts w:ascii="Times New Roman" w:hAnsi="Times New Roman" w:cs="Times New Roman"/>
          <w:b/>
          <w:bCs/>
          <w:sz w:val="24"/>
          <w:szCs w:val="24"/>
        </w:rPr>
        <w:t> </w:t>
      </w:r>
      <w:r w:rsidRPr="00703566">
        <w:rPr>
          <w:rFonts w:ascii="Times New Roman" w:hAnsi="Times New Roman" w:cs="Times New Roman"/>
          <w:sz w:val="24"/>
          <w:szCs w:val="24"/>
        </w:rPr>
        <w:t>2 Post Covid Effect on Digestive Tract</w:t>
      </w:r>
    </w:p>
    <w:p w14:paraId="48266686"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2.5 .3 Post Covid Effect on Renal System</w:t>
      </w:r>
    </w:p>
    <w:p w14:paraId="043804B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2.5.4 Respiratory Illness After COVID -19</w:t>
      </w:r>
    </w:p>
    <w:p w14:paraId="74189DE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2.6 Treatment Modalities Adopted for Geriatric COVID 19 Patients</w:t>
      </w:r>
    </w:p>
    <w:p w14:paraId="6F6E1861" w14:textId="77777777" w:rsidR="00703566" w:rsidRPr="00703566" w:rsidRDefault="00703566" w:rsidP="00703566">
      <w:pPr>
        <w:spacing w:line="480" w:lineRule="auto"/>
        <w:jc w:val="both"/>
        <w:rPr>
          <w:rFonts w:ascii="Times New Roman" w:hAnsi="Times New Roman" w:cs="Times New Roman"/>
          <w:sz w:val="24"/>
          <w:szCs w:val="24"/>
        </w:rPr>
      </w:pPr>
    </w:p>
    <w:p w14:paraId="6DAA387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2.1 The Determinants of COVID19 Occurrence in Geriatric</w:t>
      </w:r>
    </w:p>
    <w:p w14:paraId="36446D5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COVID 19 makes sudden drastic changes among older peoples in everyday routine. They are more being challenged to spend more time at home and lack contact with friends and colleagues. The transient termination of employment and other activities, and other psychological disturbances associated with aging, and fear of death lead to worsening of disease, and also worsen the existing disease (WHO, 2019). Most of the people are staying at home during the epidemic period, however, the occurrence of COVID 19 is more dominant in the geriatric population. Several factors contribute to the prevalence of covid 19 among geriatrics.</w:t>
      </w:r>
    </w:p>
    <w:p w14:paraId="7A2298A9" w14:textId="77777777" w:rsidR="00703566" w:rsidRPr="00703566" w:rsidRDefault="00703566" w:rsidP="00703566">
      <w:pPr>
        <w:spacing w:line="480" w:lineRule="auto"/>
        <w:jc w:val="both"/>
        <w:rPr>
          <w:rFonts w:ascii="Times New Roman" w:hAnsi="Times New Roman" w:cs="Times New Roman"/>
          <w:sz w:val="24"/>
          <w:szCs w:val="24"/>
        </w:rPr>
      </w:pPr>
    </w:p>
    <w:p w14:paraId="1C477C3D" w14:textId="77777777" w:rsidR="00703566" w:rsidRPr="00703566" w:rsidRDefault="00703566" w:rsidP="00703566">
      <w:pPr>
        <w:spacing w:line="480" w:lineRule="auto"/>
        <w:jc w:val="both"/>
        <w:rPr>
          <w:rFonts w:ascii="Times New Roman" w:hAnsi="Times New Roman" w:cs="Times New Roman"/>
          <w:sz w:val="24"/>
          <w:szCs w:val="24"/>
        </w:rPr>
      </w:pPr>
      <w:proofErr w:type="gramStart"/>
      <w:r w:rsidRPr="00703566">
        <w:rPr>
          <w:rFonts w:ascii="Times New Roman" w:hAnsi="Times New Roman" w:cs="Times New Roman"/>
          <w:b/>
          <w:bCs/>
          <w:sz w:val="24"/>
          <w:szCs w:val="24"/>
        </w:rPr>
        <w:t>2.1.1 </w:t>
      </w:r>
      <w:r w:rsidRPr="00703566">
        <w:rPr>
          <w:rFonts w:ascii="Times New Roman" w:hAnsi="Times New Roman" w:cs="Times New Roman"/>
          <w:sz w:val="24"/>
          <w:szCs w:val="24"/>
        </w:rPr>
        <w:t> </w:t>
      </w:r>
      <w:r w:rsidRPr="00703566">
        <w:rPr>
          <w:rFonts w:ascii="Times New Roman" w:hAnsi="Times New Roman" w:cs="Times New Roman"/>
          <w:b/>
          <w:bCs/>
          <w:sz w:val="24"/>
          <w:szCs w:val="24"/>
        </w:rPr>
        <w:t>Epigenetic</w:t>
      </w:r>
      <w:proofErr w:type="gramEnd"/>
      <w:r w:rsidRPr="00703566">
        <w:rPr>
          <w:rFonts w:ascii="Times New Roman" w:hAnsi="Times New Roman" w:cs="Times New Roman"/>
          <w:b/>
          <w:bCs/>
          <w:sz w:val="24"/>
          <w:szCs w:val="24"/>
        </w:rPr>
        <w:t xml:space="preserve"> changes in old age</w:t>
      </w:r>
    </w:p>
    <w:p w14:paraId="7D75F8E9"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As biomarkers, and potential underlying causes, of chronic disease states and of aging itself, dysregulation of the epigenome and resulting changes in gene expression during aging are strongly involved (Mueller et al., 2020). The aging theory of '</w:t>
      </w:r>
      <w:proofErr w:type="spellStart"/>
      <w:r w:rsidRPr="00703566">
        <w:rPr>
          <w:rFonts w:ascii="Times New Roman" w:hAnsi="Times New Roman" w:cs="Times New Roman"/>
          <w:sz w:val="24"/>
          <w:szCs w:val="24"/>
        </w:rPr>
        <w:t>relocalization</w:t>
      </w:r>
      <w:proofErr w:type="spellEnd"/>
      <w:r w:rsidRPr="00703566">
        <w:rPr>
          <w:rFonts w:ascii="Times New Roman" w:hAnsi="Times New Roman" w:cs="Times New Roman"/>
          <w:sz w:val="24"/>
          <w:szCs w:val="24"/>
        </w:rPr>
        <w:t xml:space="preserve"> of chromatin modifiers' postulates that signs of aging and loss of resistance are the product of the accumulation of epigenetic changes over a lifespan (Burgess et al., 2012). These changes may be triggered in part by the redistribution of chromatin factors, which indicated that age-related changes to the host epigenome compromised immune responses and give a negative impact on viral diseases.</w:t>
      </w:r>
    </w:p>
    <w:p w14:paraId="31DB1129"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The susceptibility of the elderly to SARS-CoV-2 could also have with the viral entry effects of the epigenome triggered by the physical contact between the receptor of the viral spike glycoprotein and the surface protein of the ACE2 cell. While genetic variations in ACE2 are being pursued as a cause of the severity of COVID 19.</w:t>
      </w:r>
    </w:p>
    <w:p w14:paraId="3C2E17F4" w14:textId="77777777" w:rsidR="00703566" w:rsidRPr="00703566" w:rsidRDefault="00703566" w:rsidP="00703566">
      <w:pPr>
        <w:spacing w:line="480" w:lineRule="auto"/>
        <w:jc w:val="both"/>
        <w:rPr>
          <w:rFonts w:ascii="Times New Roman" w:hAnsi="Times New Roman" w:cs="Times New Roman"/>
          <w:sz w:val="24"/>
          <w:szCs w:val="24"/>
        </w:rPr>
      </w:pPr>
    </w:p>
    <w:p w14:paraId="4F59BF1C"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2.1.2 The Immunocompetency, Nutritional Factors, and Incidence of Corona Virus</w:t>
      </w:r>
    </w:p>
    <w:p w14:paraId="41057C59"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Geriatric have compromised immunity than other age groups. The immune response of an individual is the organized function of cell and molecule acting together to protect from pathogens, that cause disease (Nicholson, 2016). The overreaction of the immune system leads to inflammatory diseases. At a younger age, there is a good balance between immune responses. The older age the balance between immune response become lost, which leads to the risk of diseases (Travers, 2016). Immune senescence occurs in geriatrics, the word immune senescence is referred to as the slow impairment of our immune system. This decline in immunity also referred to as immune senescence, has been largely attributed to either the increased incidence and severity of infections, reduced immune monitoring of lymphocytes, and decreased vaccine effectiveness in the elderly (</w:t>
      </w:r>
      <w:proofErr w:type="spellStart"/>
      <w:r w:rsidRPr="00703566">
        <w:rPr>
          <w:rFonts w:ascii="Times New Roman" w:hAnsi="Times New Roman" w:cs="Times New Roman"/>
          <w:sz w:val="24"/>
          <w:szCs w:val="24"/>
        </w:rPr>
        <w:t>Alexopoulos</w:t>
      </w:r>
      <w:proofErr w:type="spellEnd"/>
      <w:r w:rsidRPr="00703566">
        <w:rPr>
          <w:rFonts w:ascii="Times New Roman" w:hAnsi="Times New Roman" w:cs="Times New Roman"/>
          <w:sz w:val="24"/>
          <w:szCs w:val="24"/>
        </w:rPr>
        <w:t xml:space="preserve"> &amp; Morimoto, 2011). Generally, immune senescence occurs after 55 years of age. It is a major physiological change in old age. </w:t>
      </w:r>
      <w:proofErr w:type="spellStart"/>
      <w:r w:rsidRPr="00703566">
        <w:rPr>
          <w:rFonts w:ascii="Times New Roman" w:hAnsi="Times New Roman" w:cs="Times New Roman"/>
          <w:sz w:val="24"/>
          <w:szCs w:val="24"/>
        </w:rPr>
        <w:t>Immunosenescence</w:t>
      </w:r>
      <w:proofErr w:type="spellEnd"/>
      <w:r w:rsidRPr="00703566">
        <w:rPr>
          <w:rFonts w:ascii="Times New Roman" w:hAnsi="Times New Roman" w:cs="Times New Roman"/>
          <w:sz w:val="24"/>
          <w:szCs w:val="24"/>
        </w:rPr>
        <w:t xml:space="preserve"> is a very complex phenomenon due to deregulated immunity. Normal aging is genetically determined, although many external factors might have a positive or negative effect on immune senescence. Indeed, the actual state of the immune system in the elderly is, according to modern views, the product of a continuous phase of remodelling. Oxidative stress, likely due to an increased rate of telomere shortening resulting from DNA damage, is believed to be a major factor in accelerated aging. At the end of chromosomes, telomeres are DNA+ Protein complexes and are supposed to be the aging molecular clock, including that of the immune system, especially lymphocytes (McElhaney &amp; </w:t>
      </w:r>
      <w:proofErr w:type="spellStart"/>
      <w:r w:rsidRPr="00703566">
        <w:rPr>
          <w:rFonts w:ascii="Times New Roman" w:hAnsi="Times New Roman" w:cs="Times New Roman"/>
          <w:sz w:val="24"/>
          <w:szCs w:val="24"/>
        </w:rPr>
        <w:t>Effros</w:t>
      </w:r>
      <w:proofErr w:type="spellEnd"/>
      <w:r w:rsidRPr="00703566">
        <w:rPr>
          <w:rFonts w:ascii="Times New Roman" w:hAnsi="Times New Roman" w:cs="Times New Roman"/>
          <w:sz w:val="24"/>
          <w:szCs w:val="24"/>
        </w:rPr>
        <w:t>, 2009).</w:t>
      </w:r>
    </w:p>
    <w:p w14:paraId="0A8040BF"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In any infectious disease, immunity is the foundation of host-pathogen interaction. It comprises three factors, viz vulnerability, immune response, and protentional immune pathology (</w:t>
      </w:r>
      <w:proofErr w:type="spellStart"/>
      <w:r w:rsidRPr="00703566">
        <w:rPr>
          <w:rFonts w:ascii="Times New Roman" w:hAnsi="Times New Roman" w:cs="Times New Roman"/>
          <w:sz w:val="24"/>
          <w:szCs w:val="24"/>
        </w:rPr>
        <w:t>Frasca</w:t>
      </w:r>
      <w:proofErr w:type="spellEnd"/>
      <w:r w:rsidRPr="00703566">
        <w:rPr>
          <w:rFonts w:ascii="Times New Roman" w:hAnsi="Times New Roman" w:cs="Times New Roman"/>
          <w:sz w:val="24"/>
          <w:szCs w:val="24"/>
        </w:rPr>
        <w:t xml:space="preserve"> et al., 2009).</w:t>
      </w:r>
    </w:p>
    <w:p w14:paraId="75408DC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lastRenderedPageBreak/>
        <w:t xml:space="preserve">           For all cells to function optimally, adequate and appropriate nutrition is needed. An "activated" immune system further increases the demand for the immune system. Optimal nutrition is required to maintain the best immunological outcome, which supports the overall functioning of the immune system. The demands of the immune system for energy and nutrients can be met from exogenous sources, i.e., diet, or from endogenous sources such as body stores if dietary sources are insufficient. Some micronutrients and dietary components play a very specific role in life in developing and sustaining an efficient immune system or in reducing chronic inflammatory disease. For the generation of nitric oxide by macrophages, the amino acid arginine is essential, and vitamin A and zinc micronutrients control the division of cells and are therefore essential for a good proliferative response within the immune </w:t>
      </w:r>
      <w:proofErr w:type="gramStart"/>
      <w:r w:rsidRPr="00703566">
        <w:rPr>
          <w:rFonts w:ascii="Times New Roman" w:hAnsi="Times New Roman" w:cs="Times New Roman"/>
          <w:sz w:val="24"/>
          <w:szCs w:val="24"/>
        </w:rPr>
        <w:t>system(</w:t>
      </w:r>
      <w:proofErr w:type="gramEnd"/>
      <w:r w:rsidRPr="00703566">
        <w:rPr>
          <w:rFonts w:ascii="Times New Roman" w:hAnsi="Times New Roman" w:cs="Times New Roman"/>
          <w:sz w:val="24"/>
          <w:szCs w:val="24"/>
        </w:rPr>
        <w:t>Childs et al., 2019). </w:t>
      </w:r>
    </w:p>
    <w:p w14:paraId="488B82C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           In the geriatric population, food choices are different than any other population. In older individuals living at home and in nursing homes, as well as hospital patients, low appetite is a common concern. It can lead to weight loss, dietary deficiencies, and adverse health effects associated with it, including increased mortality and morbidity (Pilgrim et al., 2015). These nutritional problems induce the occurrence of underweight, obesity, diabetes mellitus, and other diet-related </w:t>
      </w:r>
      <w:proofErr w:type="spellStart"/>
      <w:r w:rsidRPr="00703566">
        <w:rPr>
          <w:rFonts w:ascii="Times New Roman" w:hAnsi="Times New Roman" w:cs="Times New Roman"/>
          <w:sz w:val="24"/>
          <w:szCs w:val="24"/>
        </w:rPr>
        <w:t>behavioral</w:t>
      </w:r>
      <w:proofErr w:type="spellEnd"/>
      <w:r w:rsidRPr="00703566">
        <w:rPr>
          <w:rFonts w:ascii="Times New Roman" w:hAnsi="Times New Roman" w:cs="Times New Roman"/>
          <w:sz w:val="24"/>
          <w:szCs w:val="24"/>
        </w:rPr>
        <w:t xml:space="preserve"> problems (</w:t>
      </w:r>
      <w:proofErr w:type="spellStart"/>
      <w:r w:rsidRPr="00703566">
        <w:rPr>
          <w:rFonts w:ascii="Times New Roman" w:hAnsi="Times New Roman" w:cs="Times New Roman"/>
          <w:sz w:val="24"/>
          <w:szCs w:val="24"/>
        </w:rPr>
        <w:t>Bourdel-Marchasson</w:t>
      </w:r>
      <w:proofErr w:type="spellEnd"/>
      <w:r w:rsidRPr="00703566">
        <w:rPr>
          <w:rFonts w:ascii="Times New Roman" w:hAnsi="Times New Roman" w:cs="Times New Roman"/>
          <w:sz w:val="24"/>
          <w:szCs w:val="24"/>
        </w:rPr>
        <w:t>, 2010). Inadequate intake of food may be caused by many factors such as age, sex, appetite, olfactory acuity, availability of food, mental awareness, self-esteem, pathological factors, dental problems, use of drugs, and disability factors in the geriatric population (Pilgrim et al., 2015). These factors adversely affect the utilization of nutrients. That may result in malnutrition, which can cause suppression of immunity in elder people.</w:t>
      </w:r>
    </w:p>
    <w:p w14:paraId="2B23E4FB"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           Malnutrition can generally weaken the immune response, thus impacting the vulnerability of the COVID-19 response. Adequate and healthy diets can help to improve the immune system for the prevention of infections, and a meaningful and balanced basis for an </w:t>
      </w:r>
      <w:r w:rsidRPr="00703566">
        <w:rPr>
          <w:rFonts w:ascii="Times New Roman" w:hAnsi="Times New Roman" w:cs="Times New Roman"/>
          <w:sz w:val="24"/>
          <w:szCs w:val="24"/>
        </w:rPr>
        <w:lastRenderedPageBreak/>
        <w:t>immune response is a consideration of the dietary and nutritional components, the factors during viral infection. For the development of antibodies, intake of an adequate amount of protein is important. Often, an increased risk of infection has been associated with a low level of Vitamin A or Zinc. The hairy morphology of the intestines can be preserved by branched-chain amino acids and the levels of intestinal immunoglobulin increase, thus strengthening the intestinal barrier. There is evidence that the immune response to infection and the intensity of COVID-19 reactions, as well as mortality, are related to vitamin D levels in geriatric COVID 19 patients. The most common deficiencies were vitamin D deficiency and selenium deficiency. Moreover, almost all COVID-19 patients with respiratory distress were found to be nutritionally deficient. It's unclear if individual nutrient deficiencies harmed immunity or whether the nutrient deficiency caused the patient's overall condition to deteriorate. Vitamin D helps the respiratory epithelium to produce antimicrobial peptides, which reduces the risk of viral infections and the severity of symptoms. Dysregulation of the renin-angiotensin system is the mechanism of lung injury in corvid-19 among geriatric. Vitamin D upregulates anti-inflammatory responses is vital for immune responses (</w:t>
      </w:r>
      <w:proofErr w:type="spellStart"/>
      <w:r w:rsidRPr="00703566">
        <w:rPr>
          <w:rFonts w:ascii="Times New Roman" w:hAnsi="Times New Roman" w:cs="Times New Roman"/>
          <w:sz w:val="24"/>
          <w:szCs w:val="24"/>
        </w:rPr>
        <w:t>Hyoung</w:t>
      </w:r>
      <w:proofErr w:type="spellEnd"/>
      <w:r w:rsidRPr="00703566">
        <w:rPr>
          <w:rFonts w:ascii="Times New Roman" w:hAnsi="Times New Roman" w:cs="Times New Roman"/>
          <w:sz w:val="24"/>
          <w:szCs w:val="24"/>
        </w:rPr>
        <w:t xml:space="preserve"> et al., 2020).</w:t>
      </w:r>
    </w:p>
    <w:p w14:paraId="1B1433DF" w14:textId="77777777" w:rsidR="00703566" w:rsidRPr="00703566" w:rsidRDefault="00703566" w:rsidP="00703566">
      <w:pPr>
        <w:spacing w:line="480" w:lineRule="auto"/>
        <w:jc w:val="both"/>
        <w:rPr>
          <w:rFonts w:ascii="Times New Roman" w:hAnsi="Times New Roman" w:cs="Times New Roman"/>
          <w:sz w:val="24"/>
          <w:szCs w:val="24"/>
        </w:rPr>
      </w:pPr>
    </w:p>
    <w:p w14:paraId="7116BED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2.1.3 Socio-Economic Factors</w:t>
      </w:r>
    </w:p>
    <w:p w14:paraId="10A3126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The intensity of the coronavirus disease (COVID-19) pandemic in almost every country in the world has a tremendous effect on social life and economic activity. In addition to biological and epidemiological variables, the magnitude of the spread of coronavirus disease in the population is often regulated by a multitude of social and economic criteria. Most governments have adopted social distance restrictions such as the closure of schools, airports, to reduce the possible enormous effect of the spread of coronavirus disease. There were also lockdowns in the most extreme cases; all residents were forbidden from leaving their homes. Subsequently, </w:t>
      </w:r>
      <w:r w:rsidRPr="00703566">
        <w:rPr>
          <w:rFonts w:ascii="Times New Roman" w:hAnsi="Times New Roman" w:cs="Times New Roman"/>
          <w:sz w:val="24"/>
          <w:szCs w:val="24"/>
        </w:rPr>
        <w:lastRenderedPageBreak/>
        <w:t>this contributed to a drastic economic downturn: stock prices collapsed, foreign trade slowed, companies went bankrupt, and people were left unemployed (</w:t>
      </w:r>
      <w:proofErr w:type="spellStart"/>
      <w:r w:rsidRPr="00703566">
        <w:rPr>
          <w:rFonts w:ascii="Times New Roman" w:hAnsi="Times New Roman" w:cs="Times New Roman"/>
          <w:sz w:val="24"/>
          <w:szCs w:val="24"/>
        </w:rPr>
        <w:t>Stojkoski</w:t>
      </w:r>
      <w:proofErr w:type="spellEnd"/>
      <w:r w:rsidRPr="00703566">
        <w:rPr>
          <w:rFonts w:ascii="Times New Roman" w:hAnsi="Times New Roman" w:cs="Times New Roman"/>
          <w:sz w:val="24"/>
          <w:szCs w:val="24"/>
        </w:rPr>
        <w:t xml:space="preserve"> et al., 2020). </w:t>
      </w:r>
    </w:p>
    <w:p w14:paraId="5B04941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In low-income families restricted or no access to transport for doctor appointments, lack of health insurance, limited health care education, limited funding for health care, hours limited to working hours for providers, etc. the geriatric people require more health care attention than other age groups. The lack of health insurance is commonly seen in lower-income and minority communities. The geriatric people in low-income </w:t>
      </w:r>
      <w:proofErr w:type="gramStart"/>
      <w:r w:rsidRPr="00703566">
        <w:rPr>
          <w:rFonts w:ascii="Times New Roman" w:hAnsi="Times New Roman" w:cs="Times New Roman"/>
          <w:sz w:val="24"/>
          <w:szCs w:val="24"/>
        </w:rPr>
        <w:t>communities</w:t>
      </w:r>
      <w:proofErr w:type="gramEnd"/>
      <w:r w:rsidRPr="00703566">
        <w:rPr>
          <w:rFonts w:ascii="Times New Roman" w:hAnsi="Times New Roman" w:cs="Times New Roman"/>
          <w:sz w:val="24"/>
          <w:szCs w:val="24"/>
        </w:rPr>
        <w:t xml:space="preserve"> struggle to afford to maintain their health and nutritional status (Abrams &amp; </w:t>
      </w:r>
      <w:proofErr w:type="spellStart"/>
      <w:r w:rsidRPr="00703566">
        <w:rPr>
          <w:rFonts w:ascii="Times New Roman" w:hAnsi="Times New Roman" w:cs="Times New Roman"/>
          <w:sz w:val="24"/>
          <w:szCs w:val="24"/>
        </w:rPr>
        <w:t>Szefler</w:t>
      </w:r>
      <w:proofErr w:type="spellEnd"/>
      <w:r w:rsidRPr="00703566">
        <w:rPr>
          <w:rFonts w:ascii="Times New Roman" w:hAnsi="Times New Roman" w:cs="Times New Roman"/>
          <w:sz w:val="24"/>
          <w:szCs w:val="24"/>
        </w:rPr>
        <w:t>, 2020).</w:t>
      </w:r>
    </w:p>
    <w:p w14:paraId="59B10393"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2.1.4 The Impact of Comorbidities in Covid 19 Among Elder People</w:t>
      </w:r>
    </w:p>
    <w:p w14:paraId="76E30F77"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                       Recent studies show that comorbidities increase the incidence of coronavirus among the geriatric population. COVID-19 is more likely to affect the elderly, particularly those in long-term care facilities, and people of any age with severe underlying medical conditions. The elderly </w:t>
      </w:r>
      <w:proofErr w:type="gramStart"/>
      <w:r w:rsidRPr="00703566">
        <w:rPr>
          <w:rFonts w:ascii="Times New Roman" w:hAnsi="Times New Roman" w:cs="Times New Roman"/>
          <w:sz w:val="24"/>
          <w:szCs w:val="24"/>
        </w:rPr>
        <w:t>are</w:t>
      </w:r>
      <w:proofErr w:type="gramEnd"/>
      <w:r w:rsidRPr="00703566">
        <w:rPr>
          <w:rFonts w:ascii="Times New Roman" w:hAnsi="Times New Roman" w:cs="Times New Roman"/>
          <w:sz w:val="24"/>
          <w:szCs w:val="24"/>
        </w:rPr>
        <w:t xml:space="preserve"> a vulnerable group with chronic illnesses such as diabetes and heart disease. COVID-19 infection is more likely in people who have untreated medical conditions such as diabetes, asthma, lung, liver, and kidney disease; cancer patients on chemotherapy, transplant recipients, and patients who take steroids on a long-term basis. Patients with mild to extreme asthma are at a disadvantage because the virus affects their respiratory tracts, causing asthma attacks, pneumonia, and acute respiratory distress. The magnitude of COVID-19 disease progression is linked to several comorbidities. Many of the COVID-19's worsened results have been linked to cardiovascular comorbidities.</w:t>
      </w:r>
    </w:p>
    <w:p w14:paraId="7FD54C1A" w14:textId="77777777" w:rsidR="00703566" w:rsidRPr="00703566" w:rsidRDefault="00703566" w:rsidP="00703566">
      <w:pPr>
        <w:spacing w:line="480" w:lineRule="auto"/>
        <w:jc w:val="both"/>
        <w:rPr>
          <w:rFonts w:ascii="Times New Roman" w:hAnsi="Times New Roman" w:cs="Times New Roman"/>
          <w:sz w:val="24"/>
          <w:szCs w:val="24"/>
        </w:rPr>
      </w:pPr>
    </w:p>
    <w:p w14:paraId="34D575A9"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2.1.5 Negligence of COVID 19 Protocol in Geriatric</w:t>
      </w:r>
    </w:p>
    <w:p w14:paraId="7C0FA3BE"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The COVID 19 pandemic and its consequences like lockdown are a new phenomenon to everyone. In this world, things are happening that man never expected and not even heard. </w:t>
      </w:r>
      <w:r w:rsidRPr="00703566">
        <w:rPr>
          <w:rFonts w:ascii="Times New Roman" w:hAnsi="Times New Roman" w:cs="Times New Roman"/>
          <w:sz w:val="24"/>
          <w:szCs w:val="24"/>
        </w:rPr>
        <w:lastRenderedPageBreak/>
        <w:t>Humans are still struggling to cope with new situations especially vulnerable sections like elder people. Geriatric people do not accept the new situation and they may refuse to obey the epidemic protocols. The COVID 19 protocols such as social distancing, quarantine, isolation, wearing of mask and using sanitizers, etc are new to elder people, thus they can feel discomfort to obey protocols. </w:t>
      </w:r>
    </w:p>
    <w:p w14:paraId="7F09979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The elder people do not like to be isolated. Most of them are more likely to go out and communicate with others. Lockdown was created to shut down all activities that are beneficial to old age. Physical activity is important for elders, to maintain their physical health and mental well-being. Temporary cessation of physical activities adversely affects the overall health of the geriatric (Goethals,2020).</w:t>
      </w:r>
    </w:p>
    <w:p w14:paraId="2E08BD7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During this pandemic period, the use of facemask is increasing in the world to prevent transmission of the coronavirus. During this period, there was a corresponding increase in ocular irritation and dryness among geriatrics (Majid,2020). In healthy people, wearing a mask does not cause any harmful discomforts, and it has life-saving benefits (Jennifer 2020). Recent studies show that face mask does not affect the respiratory system. The use of average mask may cause respiratory disturbances (Nancy,2020), however, elder people believe that face mask cause respiratory discomfort, so that they refuse to use the mask, that leads to the transmission of coronavirus quickly.</w:t>
      </w:r>
    </w:p>
    <w:p w14:paraId="2058663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The elder people who are suffering from psychological disturbances such as delirium or dementia are not aware of coronavirus and its consequences. They are more vulnerable to these infections thus, disobedience of covid protocol leads to the incidence of disease.</w:t>
      </w:r>
    </w:p>
    <w:p w14:paraId="7A559DAC" w14:textId="77777777" w:rsidR="00703566" w:rsidRPr="00703566" w:rsidRDefault="00703566" w:rsidP="00703566">
      <w:pPr>
        <w:spacing w:line="480" w:lineRule="auto"/>
        <w:jc w:val="both"/>
        <w:rPr>
          <w:rFonts w:ascii="Times New Roman" w:hAnsi="Times New Roman" w:cs="Times New Roman"/>
          <w:sz w:val="24"/>
          <w:szCs w:val="24"/>
        </w:rPr>
      </w:pPr>
    </w:p>
    <w:p w14:paraId="418EC5F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2.2 Physiological Symptoms Associated with COVID 19</w:t>
      </w:r>
    </w:p>
    <w:p w14:paraId="1D4CB58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lastRenderedPageBreak/>
        <w:t>COVID-19 is a viral pandemic with a horrific global effect. This disorder is more infectious than influenza, so cluster outbreaks often occur. These outbreaks could be controlled if patients with symptoms rapidly underwent monitoring and touch tracing. Patients with COVID-19, sadly, have symptoms similar to other common diseases (Liu et al., 2020). Compared to other age groups, in the geriatric population severity of symptoms are higher due to their aging. Generally, the illness of COVID 19 can be categorized into five which include, asymptomatic, mild, moderate, severe, and critical (Guo et al., 2020).</w:t>
      </w:r>
    </w:p>
    <w:p w14:paraId="22DBA826"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Fever, cough, dyspnoea, fatigue, and myalgia are among the most common clinical manifestations of COVID-19 (Perlman, 2020). Extreme pneumonia has been documented in geriatric covid patients who may have acute respiratory distress syndrome (ARDS), extrapulmonary organ failure, or even death (Zhu et al., 2020).</w:t>
      </w:r>
    </w:p>
    <w:p w14:paraId="5FCE799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A high level of cytokine surge, which can result in damage to multiple organs, including cardiac myocytes, has been reported as part of the systemic inflammatory response of extreme COVID-19 disease. In patients with serious COVID-19 disease, studies have shown elevated levels of proinflammatory cytokines. Coronavirus harms direct damage to myocardial cells. ACE2 receptors are used by the SARS-CoV2 virus as an entry point to the cell. ACE 2 receptors are expressed in pneumocytes of both type 1 and type 2 but are also expressed in other cell types, including endothelial cells. ACE2 is a Renin-Angiotensin System inverse regulator. This SARS-CoV2 interaction with ACE2 can lead to changes in ACE2 pathways that lead to acute injury. Because of increased cardiometabolic demand associated with coronavirus infection and ongoing hypoxia caused by severe pneumonia or acute respiratory distress syndrome, increased demand for oxygen leads to myocardial damage (</w:t>
      </w:r>
      <w:proofErr w:type="spellStart"/>
      <w:r w:rsidRPr="00703566">
        <w:rPr>
          <w:rFonts w:ascii="Times New Roman" w:hAnsi="Times New Roman" w:cs="Times New Roman"/>
          <w:sz w:val="24"/>
          <w:szCs w:val="24"/>
        </w:rPr>
        <w:t>Basu</w:t>
      </w:r>
      <w:proofErr w:type="spellEnd"/>
      <w:r w:rsidRPr="00703566">
        <w:rPr>
          <w:rFonts w:ascii="Times New Roman" w:hAnsi="Times New Roman" w:cs="Times New Roman"/>
          <w:sz w:val="24"/>
          <w:szCs w:val="24"/>
        </w:rPr>
        <w:t xml:space="preserve">-Ray &amp; </w:t>
      </w:r>
      <w:proofErr w:type="spellStart"/>
      <w:r w:rsidRPr="00703566">
        <w:rPr>
          <w:rFonts w:ascii="Times New Roman" w:hAnsi="Times New Roman" w:cs="Times New Roman"/>
          <w:sz w:val="24"/>
          <w:szCs w:val="24"/>
        </w:rPr>
        <w:t>Soos</w:t>
      </w:r>
      <w:proofErr w:type="spellEnd"/>
      <w:r w:rsidRPr="00703566">
        <w:rPr>
          <w:rFonts w:ascii="Times New Roman" w:hAnsi="Times New Roman" w:cs="Times New Roman"/>
          <w:sz w:val="24"/>
          <w:szCs w:val="24"/>
        </w:rPr>
        <w:t>, 2020).</w:t>
      </w:r>
    </w:p>
    <w:p w14:paraId="0F1A9F9F"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           Severe gastrointestinal manifestations are seen in geriatric people, which include diarrhoea, vomiting, lack of appetite, abdominal pain, etc. Patients with digestive symptoms </w:t>
      </w:r>
      <w:r w:rsidRPr="00703566">
        <w:rPr>
          <w:rFonts w:ascii="Times New Roman" w:hAnsi="Times New Roman" w:cs="Times New Roman"/>
          <w:sz w:val="24"/>
          <w:szCs w:val="24"/>
        </w:rPr>
        <w:lastRenderedPageBreak/>
        <w:t>had a slightly longer duration than patients without gastrointestinal symptoms from onset to hospital admission (Pan et al., 2020). A loss in appetite is faced by many older individuals. Reduced appetite, increasing the risk of weight loss and nutritional deficiencies, can lead to decreased food and nutrient intake. For elder people, dietary deficiencies and weight loss have significant effects (</w:t>
      </w:r>
      <w:proofErr w:type="spellStart"/>
      <w:r w:rsidRPr="00703566">
        <w:rPr>
          <w:rFonts w:ascii="Times New Roman" w:hAnsi="Times New Roman" w:cs="Times New Roman"/>
          <w:sz w:val="24"/>
          <w:szCs w:val="24"/>
        </w:rPr>
        <w:t>Villapol</w:t>
      </w:r>
      <w:proofErr w:type="spellEnd"/>
      <w:r w:rsidRPr="00703566">
        <w:rPr>
          <w:rFonts w:ascii="Times New Roman" w:hAnsi="Times New Roman" w:cs="Times New Roman"/>
          <w:sz w:val="24"/>
          <w:szCs w:val="24"/>
        </w:rPr>
        <w:t>, 2020). It can be difficult for older people to regain lost weight. With the aging process, many changes may be responsible for a decline or loss in appetite, including changes in the physiology of the geriatric, changes in psychological and emotional factors, changes in social circumstances, acute illness, chronic diseases, and use of certain drugs (</w:t>
      </w:r>
      <w:proofErr w:type="spellStart"/>
      <w:r w:rsidRPr="00703566">
        <w:rPr>
          <w:rFonts w:ascii="Times New Roman" w:hAnsi="Times New Roman" w:cs="Times New Roman"/>
          <w:sz w:val="24"/>
          <w:szCs w:val="24"/>
        </w:rPr>
        <w:t>Zuo</w:t>
      </w:r>
      <w:proofErr w:type="spellEnd"/>
      <w:r w:rsidRPr="00703566">
        <w:rPr>
          <w:rFonts w:ascii="Times New Roman" w:hAnsi="Times New Roman" w:cs="Times New Roman"/>
          <w:sz w:val="24"/>
          <w:szCs w:val="24"/>
        </w:rPr>
        <w:t xml:space="preserve"> et al., 2020). The physiological changes were seen in the digestive system, hormonal changes, illness, pain, changes in the sense of smell, taste, and vision, and a decreased requirement for energy occur with aging that can impair appetite (</w:t>
      </w:r>
      <w:proofErr w:type="spellStart"/>
      <w:r w:rsidRPr="00703566">
        <w:rPr>
          <w:rFonts w:ascii="Times New Roman" w:hAnsi="Times New Roman" w:cs="Times New Roman"/>
          <w:sz w:val="24"/>
          <w:szCs w:val="24"/>
        </w:rPr>
        <w:t>Vodnar</w:t>
      </w:r>
      <w:proofErr w:type="spellEnd"/>
      <w:r w:rsidRPr="00703566">
        <w:rPr>
          <w:rFonts w:ascii="Times New Roman" w:hAnsi="Times New Roman" w:cs="Times New Roman"/>
          <w:sz w:val="24"/>
          <w:szCs w:val="24"/>
        </w:rPr>
        <w:t xml:space="preserve"> et al., 2020).</w:t>
      </w:r>
    </w:p>
    <w:p w14:paraId="0B6A587A"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A viral infection, resulting in enterocyte dysfunction, induces an alteration in intestinal permeability in geriatric covid patients (</w:t>
      </w:r>
      <w:proofErr w:type="spellStart"/>
      <w:r w:rsidRPr="00703566">
        <w:rPr>
          <w:rFonts w:ascii="Times New Roman" w:hAnsi="Times New Roman" w:cs="Times New Roman"/>
          <w:sz w:val="24"/>
          <w:szCs w:val="24"/>
        </w:rPr>
        <w:t>Villapol</w:t>
      </w:r>
      <w:proofErr w:type="spellEnd"/>
      <w:r w:rsidRPr="00703566">
        <w:rPr>
          <w:rFonts w:ascii="Times New Roman" w:hAnsi="Times New Roman" w:cs="Times New Roman"/>
          <w:sz w:val="24"/>
          <w:szCs w:val="24"/>
        </w:rPr>
        <w:t>, 2020). Geriatric COVID-19 patients have typical symptoms in the respiratory system. However, complaints of intestinal symptoms, such as diarrhoea, vomiting are common (</w:t>
      </w:r>
      <w:proofErr w:type="spellStart"/>
      <w:r w:rsidRPr="00703566">
        <w:rPr>
          <w:rFonts w:ascii="Times New Roman" w:hAnsi="Times New Roman" w:cs="Times New Roman"/>
          <w:sz w:val="24"/>
          <w:szCs w:val="24"/>
        </w:rPr>
        <w:t>Sokolowska</w:t>
      </w:r>
      <w:proofErr w:type="spellEnd"/>
      <w:r w:rsidRPr="00703566">
        <w:rPr>
          <w:rFonts w:ascii="Times New Roman" w:hAnsi="Times New Roman" w:cs="Times New Roman"/>
          <w:sz w:val="24"/>
          <w:szCs w:val="24"/>
        </w:rPr>
        <w:t xml:space="preserve"> et al., 2020). Recent studies show that there is no proof of antidiarrheal drug effectiveness, however, as with all COVID-19 patients, sufficient rehydration and potassium monitoring were done. Inflammation or intestinal damage is followed by gastrointestinal symptoms (Pan et al., 2020). There is a loss of the integrity of the intestinal barrier and of gut microbes that can cause the release of proinflammatory cytokines into the circulatory system by innate and adaptive immune cells, leading to systemic inflammation. Inflammation or intestinal damage is followed by gastrointestinal symptoms. There is a loss of integrity of the intestinal barrier and of gut microbes that can cause the release of proinflammatory cytokines into the circulatory system by innate and adaptive immune cells, leading to systemic inflammation. Via dendritic cells, certain intestinal signalling pathways can control inflammation (</w:t>
      </w:r>
      <w:proofErr w:type="spellStart"/>
      <w:r w:rsidRPr="00703566">
        <w:rPr>
          <w:rFonts w:ascii="Times New Roman" w:hAnsi="Times New Roman" w:cs="Times New Roman"/>
          <w:sz w:val="24"/>
          <w:szCs w:val="24"/>
        </w:rPr>
        <w:t>Parasa</w:t>
      </w:r>
      <w:proofErr w:type="spellEnd"/>
      <w:r w:rsidRPr="00703566">
        <w:rPr>
          <w:rFonts w:ascii="Times New Roman" w:hAnsi="Times New Roman" w:cs="Times New Roman"/>
          <w:sz w:val="24"/>
          <w:szCs w:val="24"/>
        </w:rPr>
        <w:t xml:space="preserve"> et al., 2020).  </w:t>
      </w:r>
    </w:p>
    <w:p w14:paraId="09D0FF44" w14:textId="77777777" w:rsidR="00703566" w:rsidRPr="00703566" w:rsidRDefault="00703566" w:rsidP="00703566">
      <w:pPr>
        <w:spacing w:line="480" w:lineRule="auto"/>
        <w:jc w:val="both"/>
        <w:rPr>
          <w:rFonts w:ascii="Times New Roman" w:hAnsi="Times New Roman" w:cs="Times New Roman"/>
          <w:sz w:val="24"/>
          <w:szCs w:val="24"/>
        </w:rPr>
      </w:pPr>
    </w:p>
    <w:p w14:paraId="31DD76FF"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 xml:space="preserve">2.3 Psychological Symptoms Associated with Corona Virus </w:t>
      </w:r>
      <w:proofErr w:type="gramStart"/>
      <w:r w:rsidRPr="00703566">
        <w:rPr>
          <w:rFonts w:ascii="Times New Roman" w:hAnsi="Times New Roman" w:cs="Times New Roman"/>
          <w:b/>
          <w:bCs/>
          <w:sz w:val="24"/>
          <w:szCs w:val="24"/>
        </w:rPr>
        <w:t>In</w:t>
      </w:r>
      <w:proofErr w:type="gramEnd"/>
      <w:r w:rsidRPr="00703566">
        <w:rPr>
          <w:rFonts w:ascii="Times New Roman" w:hAnsi="Times New Roman" w:cs="Times New Roman"/>
          <w:b/>
          <w:bCs/>
          <w:sz w:val="24"/>
          <w:szCs w:val="24"/>
        </w:rPr>
        <w:t xml:space="preserve"> Geriatric Population</w:t>
      </w:r>
    </w:p>
    <w:p w14:paraId="182ADD5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Pandemics and other public health issues, such as extreme acute respiratory syndrome (SARS), and the recent pandemic of coronavirus (COVID-19), also contribute to high rates of mental health problems in elder people. Recent studies show that COVID 19 uprise depression, fear of death, hopeless in treatment which leads to suicidal behaviour in geriatric people who suffer from COVID 19 (Mukhtar, 2020). The most common mental health issues during pandemics are anxiety, depressive symptoms, and posttraumatic stress disorder in geriatric covid patients (Hossain et al., 2020). </w:t>
      </w:r>
    </w:p>
    <w:p w14:paraId="3F794D9C"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The tools needed to cope with the burden of COVID-19 are not available to many older adults. This may include material resources (e.g., lack of access to smart technology and lack of knowledge), social resources (e.g., few family members or friends), or cognitive or biological resources (e.g., failure to engage in physical exercise or participate in activities or routines) (García-</w:t>
      </w:r>
      <w:proofErr w:type="spellStart"/>
      <w:r w:rsidRPr="00703566">
        <w:rPr>
          <w:rFonts w:ascii="Times New Roman" w:hAnsi="Times New Roman" w:cs="Times New Roman"/>
          <w:sz w:val="24"/>
          <w:szCs w:val="24"/>
        </w:rPr>
        <w:t>Portilla</w:t>
      </w:r>
      <w:proofErr w:type="spellEnd"/>
      <w:r w:rsidRPr="00703566">
        <w:rPr>
          <w:rFonts w:ascii="Times New Roman" w:hAnsi="Times New Roman" w:cs="Times New Roman"/>
          <w:sz w:val="24"/>
          <w:szCs w:val="24"/>
        </w:rPr>
        <w:t xml:space="preserve"> et al., 2020).</w:t>
      </w:r>
    </w:p>
    <w:p w14:paraId="2BA323B4" w14:textId="77777777" w:rsidR="00703566" w:rsidRPr="00703566" w:rsidRDefault="00703566" w:rsidP="00703566">
      <w:pPr>
        <w:spacing w:line="480" w:lineRule="auto"/>
        <w:jc w:val="both"/>
        <w:rPr>
          <w:rFonts w:ascii="Times New Roman" w:hAnsi="Times New Roman" w:cs="Times New Roman"/>
          <w:sz w:val="24"/>
          <w:szCs w:val="24"/>
        </w:rPr>
      </w:pPr>
    </w:p>
    <w:p w14:paraId="2C9D758D"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2.4 Pathogenesis of Coronavirus Infection in Geriatric Population</w:t>
      </w:r>
    </w:p>
    <w:p w14:paraId="2FB36ECD"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The upper air passage is the entry of infections like SARS-CoV-2. In elders. The age-related reduction in inhaled particle clearance in the small airway region is responsible for the high prevalence of respiratory symptoms among the elderly. A peculiar dissociation between the intensity of hypoxemia and the relatively well-preserved ventilatory system of the pump has been documented in infected patients with SARS-CoV-2 (Perrotta et al., 2020). Over 60 autopsies of SARS cases have been documented with pathological findings in the lungs. The lungs were oedematous and increased in weight on gross </w:t>
      </w:r>
      <w:proofErr w:type="gramStart"/>
      <w:r w:rsidRPr="00703566">
        <w:rPr>
          <w:rFonts w:ascii="Times New Roman" w:hAnsi="Times New Roman" w:cs="Times New Roman"/>
          <w:sz w:val="24"/>
          <w:szCs w:val="24"/>
        </w:rPr>
        <w:t>inspection(</w:t>
      </w:r>
      <w:proofErr w:type="gramEnd"/>
      <w:r w:rsidRPr="00703566">
        <w:rPr>
          <w:rFonts w:ascii="Times New Roman" w:hAnsi="Times New Roman" w:cs="Times New Roman"/>
          <w:sz w:val="24"/>
          <w:szCs w:val="24"/>
        </w:rPr>
        <w:t xml:space="preserve">Gu &amp; </w:t>
      </w:r>
      <w:proofErr w:type="spellStart"/>
      <w:r w:rsidRPr="00703566">
        <w:rPr>
          <w:rFonts w:ascii="Times New Roman" w:hAnsi="Times New Roman" w:cs="Times New Roman"/>
          <w:sz w:val="24"/>
          <w:szCs w:val="24"/>
        </w:rPr>
        <w:t>Korteweg</w:t>
      </w:r>
      <w:proofErr w:type="spellEnd"/>
      <w:r w:rsidRPr="00703566">
        <w:rPr>
          <w:rFonts w:ascii="Times New Roman" w:hAnsi="Times New Roman" w:cs="Times New Roman"/>
          <w:sz w:val="24"/>
          <w:szCs w:val="24"/>
        </w:rPr>
        <w:t>, 2007).</w:t>
      </w:r>
    </w:p>
    <w:p w14:paraId="11AE7A6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lastRenderedPageBreak/>
        <w:t>Many findings indicate that SARS-</w:t>
      </w:r>
      <w:proofErr w:type="spellStart"/>
      <w:r w:rsidRPr="00703566">
        <w:rPr>
          <w:rFonts w:ascii="Times New Roman" w:hAnsi="Times New Roman" w:cs="Times New Roman"/>
          <w:sz w:val="24"/>
          <w:szCs w:val="24"/>
        </w:rPr>
        <w:t>CoV</w:t>
      </w:r>
      <w:proofErr w:type="spellEnd"/>
      <w:r w:rsidRPr="00703566">
        <w:rPr>
          <w:rFonts w:ascii="Times New Roman" w:hAnsi="Times New Roman" w:cs="Times New Roman"/>
          <w:sz w:val="24"/>
          <w:szCs w:val="24"/>
        </w:rPr>
        <w:t xml:space="preserve"> is capable of causing central nervous system infection. SARS-</w:t>
      </w:r>
      <w:proofErr w:type="spellStart"/>
      <w:r w:rsidRPr="00703566">
        <w:rPr>
          <w:rFonts w:ascii="Times New Roman" w:hAnsi="Times New Roman" w:cs="Times New Roman"/>
          <w:sz w:val="24"/>
          <w:szCs w:val="24"/>
        </w:rPr>
        <w:t>CoV</w:t>
      </w:r>
      <w:proofErr w:type="spellEnd"/>
      <w:r w:rsidRPr="00703566">
        <w:rPr>
          <w:rFonts w:ascii="Times New Roman" w:hAnsi="Times New Roman" w:cs="Times New Roman"/>
          <w:sz w:val="24"/>
          <w:szCs w:val="24"/>
        </w:rPr>
        <w:t xml:space="preserve"> genomic sequences have been identified by RT-PCR in cerebral spinal fluid and brain tissue samples (Schouten et al., 2016).</w:t>
      </w:r>
    </w:p>
    <w:p w14:paraId="6D998EC9"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2.5 Long Term Effects of COVID -19 In Geriatric Population</w:t>
      </w:r>
    </w:p>
    <w:p w14:paraId="3707B406"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There is a various range of symptoms experienced by COVID -19 patients. Approximately 10-15% of cases lead to serious disease, and about 5% become seriously ill. After 2 to 6 weeks, people usually recover from COVID-19 except for geriatric people, who suffer from various diseases such as heart disease, cancer, etc. Some symptoms of coronavirus infection persist for longer which depends upon age, health status, etc.</w:t>
      </w:r>
    </w:p>
    <w:p w14:paraId="3D921F86"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Some lingering or long-term health hazards occur in post-corona virus infection, which includes fatigue, shortness of breath, loss of taste or smell, and body ache. Headache, chest pain, abdominal pain confusion, etc. In many cases reported that people especially geriatric people, do not achieve their previous health status after coronavirus infection. Prolonged health hazards are more common in elder COVID-19 patients. High blood pressure, psychological abnormalities, obesity, malnutrition occur in patients, that may lead to emerging of other disease associated with it. </w:t>
      </w:r>
    </w:p>
    <w:p w14:paraId="29D02D4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           Coronavirus infection is new to everyone, the long-term effect of coronavirus infection is not discovered yet, still, research is going about it. However recent studies have shown that the coronavirus can affect the whole organ system such as the circulatory system (damage to heart muscles, heart failure) brain and nervous system (anosmia, cognitive </w:t>
      </w:r>
      <w:proofErr w:type="gramStart"/>
      <w:r w:rsidRPr="00703566">
        <w:rPr>
          <w:rFonts w:ascii="Times New Roman" w:hAnsi="Times New Roman" w:cs="Times New Roman"/>
          <w:sz w:val="24"/>
          <w:szCs w:val="24"/>
        </w:rPr>
        <w:t>impairment)muscular</w:t>
      </w:r>
      <w:proofErr w:type="gramEnd"/>
      <w:r w:rsidRPr="00703566">
        <w:rPr>
          <w:rFonts w:ascii="Times New Roman" w:hAnsi="Times New Roman" w:cs="Times New Roman"/>
          <w:sz w:val="24"/>
          <w:szCs w:val="24"/>
        </w:rPr>
        <w:t xml:space="preserve"> and skeletal system (pain in join and muscle) found as past COVID 19 impact (WHO, 2020).</w:t>
      </w:r>
    </w:p>
    <w:p w14:paraId="3264B45C" w14:textId="77777777" w:rsidR="00703566" w:rsidRPr="00703566" w:rsidRDefault="00703566" w:rsidP="00703566">
      <w:pPr>
        <w:spacing w:line="480" w:lineRule="auto"/>
        <w:jc w:val="both"/>
        <w:rPr>
          <w:rFonts w:ascii="Times New Roman" w:hAnsi="Times New Roman" w:cs="Times New Roman"/>
          <w:sz w:val="24"/>
          <w:szCs w:val="24"/>
        </w:rPr>
      </w:pPr>
    </w:p>
    <w:p w14:paraId="5C680B88"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2.5.1 Post Covid Effect on Cardiac Health</w:t>
      </w:r>
    </w:p>
    <w:p w14:paraId="1E8F3FA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lastRenderedPageBreak/>
        <w:t>Coronaviruses cause a strong systemic inflammatory response, as well as localized vascular inflammation resulting in a higher risk of myocarditis and thromboembolic events in the acute phase of the disease. Patients with extreme acute COVID-19 have been reported to have a myocardial injury, as characterized by an elevated troponin level, as well as thromboembolic disease. After SARS-CoV-2 infection, myocardial inflammation and myocarditis, as well as cardiac arrhythmias, have been reported. The long-term consequences of these viruses on the cardiovascular system are currently unknown. Recent research shows that pneumonia (not SARS) hospitalization was associated with a higher risk of death that may be linked with a rise in the risk of cardiovascular disease. </w:t>
      </w:r>
    </w:p>
    <w:p w14:paraId="78894B3E"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The </w:t>
      </w:r>
      <w:proofErr w:type="spellStart"/>
      <w:r w:rsidRPr="00703566">
        <w:rPr>
          <w:rFonts w:ascii="Times New Roman" w:hAnsi="Times New Roman" w:cs="Times New Roman"/>
          <w:sz w:val="24"/>
          <w:szCs w:val="24"/>
        </w:rPr>
        <w:t>etiology</w:t>
      </w:r>
      <w:proofErr w:type="spellEnd"/>
      <w:r w:rsidRPr="00703566">
        <w:rPr>
          <w:rFonts w:ascii="Times New Roman" w:hAnsi="Times New Roman" w:cs="Times New Roman"/>
          <w:sz w:val="24"/>
          <w:szCs w:val="24"/>
        </w:rPr>
        <w:t xml:space="preserve"> of COVID-19 infection-related ACE2-dependent cardiovascular complications is problematic. By binding to the membrane-bound form of ACE2, SARS-CoV-2 reaches cardiovascular cells/tissue (ACE2 receptor). Patients with heart failure have elevated levels of ACE2 and its activity, which are biomarkers of cardiovascular disease.</w:t>
      </w:r>
    </w:p>
    <w:p w14:paraId="46189377"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Arrhythmia, which may vary from tachycardia to bradycardia and asystole, is another face of COVID19's cardiac involvement, in addition to myocardial injury. Statistical figures show that there were deaths due to sudden cardiac arrest in patients who had no previous history of idiopathic pulmonary disease. These findings indicate that death is caused primarily by an imbalance in the pulmonary ventilation-perfusion ratio and a reduction in the pulmonary vasculature's capacity. </w:t>
      </w:r>
    </w:p>
    <w:p w14:paraId="37DE2581" w14:textId="77777777" w:rsidR="00703566" w:rsidRPr="00703566" w:rsidRDefault="00703566" w:rsidP="00703566">
      <w:pPr>
        <w:spacing w:line="480" w:lineRule="auto"/>
        <w:jc w:val="both"/>
        <w:rPr>
          <w:rFonts w:ascii="Times New Roman" w:hAnsi="Times New Roman" w:cs="Times New Roman"/>
          <w:sz w:val="24"/>
          <w:szCs w:val="24"/>
        </w:rPr>
      </w:pPr>
    </w:p>
    <w:p w14:paraId="6051A79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2.5.2 Post Covid 19 Effect on Digestive Tract</w:t>
      </w:r>
    </w:p>
    <w:p w14:paraId="3796607C"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Currently, little is known about the impact of SARSCoV2 infection on GI functions. The digestive system consists of the gastrointestinal tract (GI), and also the liver, pancreas, and gall bladder, all of which should be monitored because COVID affects the GI tract in addition to </w:t>
      </w:r>
      <w:r w:rsidRPr="00703566">
        <w:rPr>
          <w:rFonts w:ascii="Times New Roman" w:hAnsi="Times New Roman" w:cs="Times New Roman"/>
          <w:sz w:val="24"/>
          <w:szCs w:val="24"/>
        </w:rPr>
        <w:lastRenderedPageBreak/>
        <w:t xml:space="preserve">other body parts (de </w:t>
      </w:r>
      <w:proofErr w:type="spellStart"/>
      <w:r w:rsidRPr="00703566">
        <w:rPr>
          <w:rFonts w:ascii="Times New Roman" w:hAnsi="Times New Roman" w:cs="Times New Roman"/>
          <w:sz w:val="24"/>
          <w:szCs w:val="24"/>
        </w:rPr>
        <w:t>Clerck</w:t>
      </w:r>
      <w:proofErr w:type="spellEnd"/>
      <w:r w:rsidRPr="00703566">
        <w:rPr>
          <w:rFonts w:ascii="Times New Roman" w:hAnsi="Times New Roman" w:cs="Times New Roman"/>
          <w:sz w:val="24"/>
          <w:szCs w:val="24"/>
        </w:rPr>
        <w:t>, 2020). It interferes with its work and makes it incapable of removing electrolytes and fluids from the body. Patients may experience bleeding in the gastrointestinal tract. As the COVID-causing virus enters the body, it targets the upper respiratory tract before actively replicating in the airways, cell linings, and gastrointestinal tracts, binding to ACE2 receptors. At the molecular level, viral replication can cause cell damage and disrupt gut function, making fighting the virus even more difficult (Cheung et al., 2020).</w:t>
      </w:r>
    </w:p>
    <w:p w14:paraId="1F0043B9"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2.5.3 Post Covid 19 Effect on Renal System</w:t>
      </w:r>
    </w:p>
    <w:p w14:paraId="6832DF67"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In patients infected with SARSCoV2, the kidneys are one of the most commonly affected extrapulmonary organs, particularly in those who are severely ill or vulnerable people such as the geriatric population (Wang et al., 2020). Recent research has shown that tubular injury (as shown by irregular urine test results) and elevated serum creatinine and urea nitrogen concentrations are the most common signs of kidney damage in covid 19 survivors, who are susceptible to extrapulmonary organ dysfunction (Hu et al., 2020). Coronavirus may infect kidney tubules directly. Although the underlying virologic mechanisms are unidentified, the virus may bind to the ACE2 receptor, which is strongly expressed in kidney tubules, that resulting in glomerulopathy, acute tubular necrosis, and protein leakage in the Bowman's capsule of the kidney, however, it's likely that AKI is an epiphenomenon in both respiratory distress syndrome-induced hypoxia and septic shock caused by the infection of coronavirus. Other autopsy investigations have shown that the endothelium in the kidneys is compromised and that this is the cause of proteinuria in people after COVID – 19 infection (</w:t>
      </w:r>
      <w:proofErr w:type="spellStart"/>
      <w:r w:rsidRPr="00703566">
        <w:rPr>
          <w:rFonts w:ascii="Times New Roman" w:hAnsi="Times New Roman" w:cs="Times New Roman"/>
          <w:sz w:val="24"/>
          <w:szCs w:val="24"/>
        </w:rPr>
        <w:t>Bellan</w:t>
      </w:r>
      <w:proofErr w:type="spellEnd"/>
      <w:r w:rsidRPr="00703566">
        <w:rPr>
          <w:rFonts w:ascii="Times New Roman" w:hAnsi="Times New Roman" w:cs="Times New Roman"/>
          <w:sz w:val="24"/>
          <w:szCs w:val="24"/>
        </w:rPr>
        <w:t xml:space="preserve"> et al., 2021). The incidence of kidney tubular injury was also higher in COVID19 patients with serious disease than in those with less severe infection. Some statistical figures show that there were deaths due to sudden cardiac arrest in patients who had no previous history of idiopathic pulmonary disease.</w:t>
      </w:r>
    </w:p>
    <w:p w14:paraId="02B17266" w14:textId="77777777" w:rsidR="00703566" w:rsidRPr="00703566" w:rsidRDefault="00703566" w:rsidP="00703566">
      <w:pPr>
        <w:spacing w:line="480" w:lineRule="auto"/>
        <w:jc w:val="both"/>
        <w:rPr>
          <w:rFonts w:ascii="Times New Roman" w:hAnsi="Times New Roman" w:cs="Times New Roman"/>
          <w:sz w:val="24"/>
          <w:szCs w:val="24"/>
        </w:rPr>
      </w:pPr>
    </w:p>
    <w:p w14:paraId="6C7E6FD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2.5.4 Respiratory Illness After Covid19 </w:t>
      </w:r>
    </w:p>
    <w:p w14:paraId="4994B10B"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The degree and severity of covid-19 infection's long-term respiratory complications are unknown, although new evidence suggests that many patients especially older adults have intermittent respiratory symptoms months after their initial illness (</w:t>
      </w:r>
      <w:proofErr w:type="spellStart"/>
      <w:r w:rsidRPr="00703566">
        <w:rPr>
          <w:rFonts w:ascii="Times New Roman" w:hAnsi="Times New Roman" w:cs="Times New Roman"/>
          <w:sz w:val="24"/>
          <w:szCs w:val="24"/>
        </w:rPr>
        <w:t>Bellan</w:t>
      </w:r>
      <w:proofErr w:type="spellEnd"/>
      <w:r w:rsidRPr="00703566">
        <w:rPr>
          <w:rFonts w:ascii="Times New Roman" w:hAnsi="Times New Roman" w:cs="Times New Roman"/>
          <w:sz w:val="24"/>
          <w:szCs w:val="24"/>
        </w:rPr>
        <w:t xml:space="preserve"> et al., 2021). Patients healing from covid-19 are assessed for possible respiratory issues such as chronic cough, fibrotic lung disease, bronchiectasis, and pulmonary vascular disease (Ngai et al., 2010). The evidence for these potential consequences comes primarily from acute covid-19 manifestations (Torres-Castro et al., 2020). Coronavirus can cause a variety of breathing problems, ranging from mild to serious. Adults over the age of 50, as well as those with other health issues such as coronary artery disease, cancer, or diabetes, may be at risk, there will be more genuine manifestations This is the effect of the new Covid on the lungs. </w:t>
      </w:r>
    </w:p>
    <w:p w14:paraId="6858D72C" w14:textId="77777777" w:rsidR="00703566" w:rsidRPr="00703566" w:rsidRDefault="00703566" w:rsidP="00703566">
      <w:pPr>
        <w:spacing w:line="480" w:lineRule="auto"/>
        <w:jc w:val="both"/>
        <w:rPr>
          <w:rFonts w:ascii="Times New Roman" w:hAnsi="Times New Roman" w:cs="Times New Roman"/>
          <w:sz w:val="24"/>
          <w:szCs w:val="24"/>
        </w:rPr>
      </w:pPr>
    </w:p>
    <w:p w14:paraId="3343AD91"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 xml:space="preserve">2.6 Treatment Modalities Adopted </w:t>
      </w:r>
      <w:proofErr w:type="gramStart"/>
      <w:r w:rsidRPr="00703566">
        <w:rPr>
          <w:rFonts w:ascii="Times New Roman" w:hAnsi="Times New Roman" w:cs="Times New Roman"/>
          <w:b/>
          <w:bCs/>
          <w:sz w:val="24"/>
          <w:szCs w:val="24"/>
        </w:rPr>
        <w:t>For</w:t>
      </w:r>
      <w:proofErr w:type="gramEnd"/>
      <w:r w:rsidRPr="00703566">
        <w:rPr>
          <w:rFonts w:ascii="Times New Roman" w:hAnsi="Times New Roman" w:cs="Times New Roman"/>
          <w:b/>
          <w:bCs/>
          <w:sz w:val="24"/>
          <w:szCs w:val="24"/>
        </w:rPr>
        <w:t xml:space="preserve"> Geriatric Patients</w:t>
      </w:r>
    </w:p>
    <w:p w14:paraId="466673CF"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Treatment modalities adopted by COVID 19 geriatric patients include, including medication, nutrient supplements, infusion of fluid, etc are effective to the fast recovery of infectious disease.</w:t>
      </w:r>
    </w:p>
    <w:p w14:paraId="6375A7C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There is no specific successful antiviral treatment for COVID-19 at this time. While the majority of COVID-19 patients have mild to moderate symptoms that, may have a serious, potentially fatal course. Of course, successful drugs are desperately needed, and supportive care or medications for other diseases, that reduce the severity of the disease. There are currently no authorized drugs to treat COVID-19 disease (</w:t>
      </w:r>
      <w:proofErr w:type="spellStart"/>
      <w:r w:rsidRPr="00703566">
        <w:rPr>
          <w:rFonts w:ascii="Times New Roman" w:hAnsi="Times New Roman" w:cs="Times New Roman"/>
          <w:sz w:val="24"/>
          <w:szCs w:val="24"/>
        </w:rPr>
        <w:t>Zhai</w:t>
      </w:r>
      <w:proofErr w:type="spellEnd"/>
      <w:r w:rsidRPr="00703566">
        <w:rPr>
          <w:rFonts w:ascii="Times New Roman" w:hAnsi="Times New Roman" w:cs="Times New Roman"/>
          <w:sz w:val="24"/>
          <w:szCs w:val="24"/>
        </w:rPr>
        <w:t xml:space="preserve"> et al., 2020). Supportive therapy, treatment of symptoms, and attempts to avoid respiratory failure in the clinical management of coronavirus infection. Antibiotic prophylaxis does not appear to prevent </w:t>
      </w:r>
      <w:r w:rsidRPr="00703566">
        <w:rPr>
          <w:rFonts w:ascii="Times New Roman" w:hAnsi="Times New Roman" w:cs="Times New Roman"/>
          <w:sz w:val="24"/>
          <w:szCs w:val="24"/>
        </w:rPr>
        <w:lastRenderedPageBreak/>
        <w:t>bacterial superinfection, and there is no indication that procalcitonin has a diagnostic role in COVID-19 patients. Specific antiviral drugs used to treat COVID-19 have been demonstrated </w:t>
      </w:r>
      <w:r w:rsidRPr="00703566">
        <w:rPr>
          <w:rFonts w:ascii="Times New Roman" w:hAnsi="Times New Roman" w:cs="Times New Roman"/>
          <w:i/>
          <w:iCs/>
          <w:sz w:val="24"/>
          <w:szCs w:val="24"/>
        </w:rPr>
        <w:t>in vitro</w:t>
      </w:r>
      <w:r w:rsidRPr="00703566">
        <w:rPr>
          <w:rFonts w:ascii="Times New Roman" w:hAnsi="Times New Roman" w:cs="Times New Roman"/>
          <w:sz w:val="24"/>
          <w:szCs w:val="24"/>
        </w:rPr>
        <w:t> and animal models, as well as anecdotal reports from human patients. These studies are almost entirely focused on SARS-</w:t>
      </w:r>
      <w:proofErr w:type="spellStart"/>
      <w:r w:rsidRPr="00703566">
        <w:rPr>
          <w:rFonts w:ascii="Times New Roman" w:hAnsi="Times New Roman" w:cs="Times New Roman"/>
          <w:sz w:val="24"/>
          <w:szCs w:val="24"/>
        </w:rPr>
        <w:t>CoV</w:t>
      </w:r>
      <w:proofErr w:type="spellEnd"/>
      <w:r w:rsidRPr="00703566">
        <w:rPr>
          <w:rFonts w:ascii="Times New Roman" w:hAnsi="Times New Roman" w:cs="Times New Roman"/>
          <w:sz w:val="24"/>
          <w:szCs w:val="24"/>
        </w:rPr>
        <w:t xml:space="preserve"> and MERS-</w:t>
      </w:r>
      <w:proofErr w:type="spellStart"/>
      <w:r w:rsidRPr="00703566">
        <w:rPr>
          <w:rFonts w:ascii="Times New Roman" w:hAnsi="Times New Roman" w:cs="Times New Roman"/>
          <w:sz w:val="24"/>
          <w:szCs w:val="24"/>
        </w:rPr>
        <w:t>CoV</w:t>
      </w:r>
      <w:proofErr w:type="spellEnd"/>
      <w:r w:rsidRPr="00703566">
        <w:rPr>
          <w:rFonts w:ascii="Times New Roman" w:hAnsi="Times New Roman" w:cs="Times New Roman"/>
          <w:sz w:val="24"/>
          <w:szCs w:val="24"/>
        </w:rPr>
        <w:t xml:space="preserve"> experience. </w:t>
      </w:r>
      <w:proofErr w:type="spellStart"/>
      <w:r w:rsidRPr="00703566">
        <w:rPr>
          <w:rFonts w:ascii="Times New Roman" w:hAnsi="Times New Roman" w:cs="Times New Roman"/>
          <w:sz w:val="24"/>
          <w:szCs w:val="24"/>
        </w:rPr>
        <w:t>Remdesivir</w:t>
      </w:r>
      <w:proofErr w:type="spellEnd"/>
      <w:r w:rsidRPr="00703566">
        <w:rPr>
          <w:rFonts w:ascii="Times New Roman" w:hAnsi="Times New Roman" w:cs="Times New Roman"/>
          <w:sz w:val="24"/>
          <w:szCs w:val="24"/>
        </w:rPr>
        <w:t xml:space="preserve"> was found to be effective in some COVID-19 patients. </w:t>
      </w:r>
      <w:proofErr w:type="spellStart"/>
      <w:r w:rsidRPr="00703566">
        <w:rPr>
          <w:rFonts w:ascii="Times New Roman" w:hAnsi="Times New Roman" w:cs="Times New Roman"/>
          <w:sz w:val="24"/>
          <w:szCs w:val="24"/>
        </w:rPr>
        <w:t>Remdesivir</w:t>
      </w:r>
      <w:proofErr w:type="spellEnd"/>
      <w:r w:rsidRPr="00703566">
        <w:rPr>
          <w:rFonts w:ascii="Times New Roman" w:hAnsi="Times New Roman" w:cs="Times New Roman"/>
          <w:sz w:val="24"/>
          <w:szCs w:val="24"/>
        </w:rPr>
        <w:t xml:space="preserve"> serves as a nucleotide equivalent by inserting into the nascent viral RNA chain and triggering its premature termination. Malaria and amoebiasis are treated with chloroquine and hydroxychloroquine. They both have a high tolerance profile. Chloroquine activity against SARS-</w:t>
      </w:r>
      <w:proofErr w:type="spellStart"/>
      <w:r w:rsidRPr="00703566">
        <w:rPr>
          <w:rFonts w:ascii="Times New Roman" w:hAnsi="Times New Roman" w:cs="Times New Roman"/>
          <w:sz w:val="24"/>
          <w:szCs w:val="24"/>
        </w:rPr>
        <w:t>CoV</w:t>
      </w:r>
      <w:proofErr w:type="spellEnd"/>
      <w:r w:rsidRPr="00703566">
        <w:rPr>
          <w:rFonts w:ascii="Times New Roman" w:hAnsi="Times New Roman" w:cs="Times New Roman"/>
          <w:sz w:val="24"/>
          <w:szCs w:val="24"/>
        </w:rPr>
        <w:t xml:space="preserve"> has been demonstrated in vitro and animal models so that these medications are used to cure coronavirus infection (</w:t>
      </w:r>
      <w:proofErr w:type="spellStart"/>
      <w:r w:rsidRPr="00703566">
        <w:rPr>
          <w:rFonts w:ascii="Times New Roman" w:hAnsi="Times New Roman" w:cs="Times New Roman"/>
          <w:sz w:val="24"/>
          <w:szCs w:val="24"/>
        </w:rPr>
        <w:t>Şimşek</w:t>
      </w:r>
      <w:proofErr w:type="spellEnd"/>
      <w:r w:rsidRPr="00703566">
        <w:rPr>
          <w:rFonts w:ascii="Times New Roman" w:hAnsi="Times New Roman" w:cs="Times New Roman"/>
          <w:sz w:val="24"/>
          <w:szCs w:val="24"/>
        </w:rPr>
        <w:t xml:space="preserve"> Yavuz &amp; </w:t>
      </w:r>
      <w:proofErr w:type="spellStart"/>
      <w:r w:rsidRPr="00703566">
        <w:rPr>
          <w:rFonts w:ascii="Times New Roman" w:hAnsi="Times New Roman" w:cs="Times New Roman"/>
          <w:sz w:val="24"/>
          <w:szCs w:val="24"/>
        </w:rPr>
        <w:t>Ünal</w:t>
      </w:r>
      <w:proofErr w:type="spellEnd"/>
      <w:r w:rsidRPr="00703566">
        <w:rPr>
          <w:rFonts w:ascii="Times New Roman" w:hAnsi="Times New Roman" w:cs="Times New Roman"/>
          <w:sz w:val="24"/>
          <w:szCs w:val="24"/>
        </w:rPr>
        <w:t>, 2020).</w:t>
      </w:r>
    </w:p>
    <w:p w14:paraId="33B1BC55"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In some hospital settings, vitamin tablets are provided to geriatric patients to improve their immunity to fight against infectious disease, which helps in the fast recovery from disease. There is an electrolyte imbalance and inadequate dietary intake is seen in the severe geriatric patient as the result of diarrhoea. To ensure adequate nutrient intake and electrolyte balance, the patients may be subjected to administration of enough nutrients and electrolytes through IV. </w:t>
      </w:r>
    </w:p>
    <w:p w14:paraId="4492D036"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            </w:t>
      </w:r>
    </w:p>
    <w:p w14:paraId="4F4A7E75"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 xml:space="preserve">                </w:t>
      </w:r>
    </w:p>
    <w:p w14:paraId="77E23C58" w14:textId="77777777" w:rsidR="00703566" w:rsidRPr="00703566" w:rsidRDefault="00703566" w:rsidP="00703566">
      <w:pPr>
        <w:spacing w:line="480" w:lineRule="auto"/>
        <w:jc w:val="both"/>
        <w:rPr>
          <w:rFonts w:ascii="Times New Roman" w:hAnsi="Times New Roman" w:cs="Times New Roman"/>
          <w:b/>
          <w:bCs/>
          <w:sz w:val="24"/>
          <w:szCs w:val="24"/>
        </w:rPr>
      </w:pPr>
    </w:p>
    <w:p w14:paraId="3D32071C" w14:textId="77777777" w:rsidR="00703566" w:rsidRPr="00703566" w:rsidRDefault="00703566" w:rsidP="00703566">
      <w:pPr>
        <w:spacing w:line="480" w:lineRule="auto"/>
        <w:jc w:val="both"/>
        <w:rPr>
          <w:rFonts w:ascii="Times New Roman" w:hAnsi="Times New Roman" w:cs="Times New Roman"/>
          <w:b/>
          <w:bCs/>
          <w:sz w:val="24"/>
          <w:szCs w:val="24"/>
        </w:rPr>
      </w:pPr>
    </w:p>
    <w:p w14:paraId="4347A2DA" w14:textId="77777777" w:rsidR="00703566" w:rsidRPr="00703566" w:rsidRDefault="00703566" w:rsidP="00703566">
      <w:pPr>
        <w:spacing w:line="480" w:lineRule="auto"/>
        <w:jc w:val="both"/>
        <w:rPr>
          <w:rFonts w:ascii="Times New Roman" w:hAnsi="Times New Roman" w:cs="Times New Roman"/>
          <w:b/>
          <w:bCs/>
          <w:sz w:val="24"/>
          <w:szCs w:val="24"/>
        </w:rPr>
      </w:pPr>
    </w:p>
    <w:p w14:paraId="2E3F4B54" w14:textId="77777777" w:rsidR="00703566" w:rsidRPr="00703566" w:rsidRDefault="00703566" w:rsidP="00703566">
      <w:pPr>
        <w:spacing w:line="480" w:lineRule="auto"/>
        <w:jc w:val="both"/>
        <w:rPr>
          <w:rFonts w:ascii="Times New Roman" w:hAnsi="Times New Roman" w:cs="Times New Roman"/>
          <w:b/>
          <w:bCs/>
          <w:sz w:val="24"/>
          <w:szCs w:val="24"/>
        </w:rPr>
      </w:pPr>
    </w:p>
    <w:p w14:paraId="4D39AFF4" w14:textId="77777777" w:rsidR="00703566" w:rsidRPr="00703566" w:rsidRDefault="00703566" w:rsidP="00703566">
      <w:pPr>
        <w:spacing w:line="480" w:lineRule="auto"/>
        <w:jc w:val="both"/>
        <w:rPr>
          <w:rFonts w:ascii="Times New Roman" w:hAnsi="Times New Roman" w:cs="Times New Roman"/>
          <w:b/>
          <w:bCs/>
          <w:sz w:val="24"/>
          <w:szCs w:val="24"/>
        </w:rPr>
      </w:pPr>
    </w:p>
    <w:p w14:paraId="392006B2" w14:textId="77777777" w:rsidR="00703566" w:rsidRPr="00703566" w:rsidRDefault="00703566" w:rsidP="00703566">
      <w:pPr>
        <w:spacing w:line="480" w:lineRule="auto"/>
        <w:ind w:left="1440" w:firstLine="720"/>
        <w:jc w:val="both"/>
        <w:rPr>
          <w:rFonts w:ascii="Times New Roman" w:hAnsi="Times New Roman" w:cs="Times New Roman"/>
          <w:sz w:val="24"/>
          <w:szCs w:val="24"/>
        </w:rPr>
      </w:pPr>
      <w:r w:rsidRPr="00703566">
        <w:rPr>
          <w:rFonts w:ascii="Times New Roman" w:hAnsi="Times New Roman" w:cs="Times New Roman"/>
          <w:b/>
          <w:bCs/>
          <w:sz w:val="24"/>
          <w:szCs w:val="24"/>
        </w:rPr>
        <w:lastRenderedPageBreak/>
        <w:t xml:space="preserve">            Related Studies</w:t>
      </w:r>
    </w:p>
    <w:p w14:paraId="1CADB973"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 xml:space="preserve">1. The Impact </w:t>
      </w:r>
      <w:proofErr w:type="gramStart"/>
      <w:r w:rsidRPr="00703566">
        <w:rPr>
          <w:rFonts w:ascii="Times New Roman" w:hAnsi="Times New Roman" w:cs="Times New Roman"/>
          <w:b/>
          <w:bCs/>
          <w:sz w:val="24"/>
          <w:szCs w:val="24"/>
        </w:rPr>
        <w:t>Of</w:t>
      </w:r>
      <w:proofErr w:type="gramEnd"/>
      <w:r w:rsidRPr="00703566">
        <w:rPr>
          <w:rFonts w:ascii="Times New Roman" w:hAnsi="Times New Roman" w:cs="Times New Roman"/>
          <w:b/>
          <w:bCs/>
          <w:sz w:val="24"/>
          <w:szCs w:val="24"/>
        </w:rPr>
        <w:t xml:space="preserve"> Delirium On Outcomes For Older Adults Hospitalised With COVID-19</w:t>
      </w:r>
    </w:p>
    <w:p w14:paraId="4FB0420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Delirium is a common illness in hospitalized older patients, and it is generally associated with a poor prognosis. It has been suggested that SARS-COV-2 has a direct impact on the central nervous system (CNS). In this study, 91 samples were selected for the study From March 8th to April 17th, 2020, 91 patients aged 70 and up were admitted to an emergency geriatric ward in Northern Italy. In the total sample, 39 patients died, 49 were discharged, and three were admitted to the intensive care unit. Delirium affected twenty-five patients (27.5%). During hospitalization, 72 percent of patients with delirium died, compared to 31.8 percent of patients without delirium. This study reveals that Delirium is normal in older COVID-19 patients and is closely linked to in-hospital mortality. Delirium should be viewed as a troubling prognostic indicator in older people, regardless of causation, whether due to a direct effect of SARS-COV-2 on the CNS or a multifactorial trigger (</w:t>
      </w:r>
      <w:proofErr w:type="spellStart"/>
      <w:r w:rsidRPr="00703566">
        <w:rPr>
          <w:rFonts w:ascii="Times New Roman" w:hAnsi="Times New Roman" w:cs="Times New Roman"/>
          <w:sz w:val="24"/>
          <w:szCs w:val="24"/>
        </w:rPr>
        <w:t>Marengoni</w:t>
      </w:r>
      <w:proofErr w:type="spellEnd"/>
      <w:r w:rsidRPr="00703566">
        <w:rPr>
          <w:rFonts w:ascii="Times New Roman" w:hAnsi="Times New Roman" w:cs="Times New Roman"/>
          <w:sz w:val="24"/>
          <w:szCs w:val="24"/>
        </w:rPr>
        <w:t xml:space="preserve"> et al., 2020).</w:t>
      </w:r>
    </w:p>
    <w:p w14:paraId="37E0CFF2" w14:textId="77777777" w:rsidR="00703566" w:rsidRPr="00703566" w:rsidRDefault="00703566" w:rsidP="00703566">
      <w:pPr>
        <w:spacing w:line="480" w:lineRule="auto"/>
        <w:jc w:val="both"/>
        <w:rPr>
          <w:rFonts w:ascii="Times New Roman" w:hAnsi="Times New Roman" w:cs="Times New Roman"/>
          <w:sz w:val="24"/>
          <w:szCs w:val="24"/>
        </w:rPr>
      </w:pPr>
    </w:p>
    <w:p w14:paraId="46963781"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 xml:space="preserve">2. Cardiac Injury Is Associated with Inflammation </w:t>
      </w:r>
      <w:proofErr w:type="gramStart"/>
      <w:r w:rsidRPr="00703566">
        <w:rPr>
          <w:rFonts w:ascii="Times New Roman" w:hAnsi="Times New Roman" w:cs="Times New Roman"/>
          <w:b/>
          <w:bCs/>
          <w:sz w:val="24"/>
          <w:szCs w:val="24"/>
        </w:rPr>
        <w:t>In</w:t>
      </w:r>
      <w:proofErr w:type="gramEnd"/>
      <w:r w:rsidRPr="00703566">
        <w:rPr>
          <w:rFonts w:ascii="Times New Roman" w:hAnsi="Times New Roman" w:cs="Times New Roman"/>
          <w:b/>
          <w:bCs/>
          <w:sz w:val="24"/>
          <w:szCs w:val="24"/>
        </w:rPr>
        <w:t xml:space="preserve"> Geriatric COVID-19 Patients</w:t>
      </w:r>
    </w:p>
    <w:p w14:paraId="0BDC195F"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The risk of heart injury in geriatric patients with coronavirus disease (COVID-19) is high. Identifying the factors that influence high-sensitivity cardiac troponin could help to identify the cause of cardiac injury in elderly patients, which could help to protect heart function in this population. In this study total of 188 inpatients were selected as samples who had been admitted for COVID-19 were screened. This research involved patients over the age of 60, and the clinical characteristics and laboratory results of the cohort were </w:t>
      </w:r>
      <w:proofErr w:type="spellStart"/>
      <w:r w:rsidRPr="00703566">
        <w:rPr>
          <w:rFonts w:ascii="Times New Roman" w:hAnsi="Times New Roman" w:cs="Times New Roman"/>
          <w:sz w:val="24"/>
          <w:szCs w:val="24"/>
        </w:rPr>
        <w:t>analyzed</w:t>
      </w:r>
      <w:proofErr w:type="spellEnd"/>
      <w:r w:rsidRPr="00703566">
        <w:rPr>
          <w:rFonts w:ascii="Times New Roman" w:hAnsi="Times New Roman" w:cs="Times New Roman"/>
          <w:sz w:val="24"/>
          <w:szCs w:val="24"/>
        </w:rPr>
        <w:t xml:space="preserve">. The relationship between cardiac injury and clinical/laboratory variables was studied statistically, and logistic regression was used to see how these variables interacted. The findings indicate that age and </w:t>
      </w:r>
      <w:r w:rsidRPr="00703566">
        <w:rPr>
          <w:rFonts w:ascii="Times New Roman" w:hAnsi="Times New Roman" w:cs="Times New Roman"/>
          <w:sz w:val="24"/>
          <w:szCs w:val="24"/>
        </w:rPr>
        <w:lastRenderedPageBreak/>
        <w:t>inflammatory factors affect cardiac health. Injuries in the elderly Inhibiting inflammation in this patient population may theoretically protect the heart (Yan et al., 2021)</w:t>
      </w:r>
    </w:p>
    <w:p w14:paraId="15C60C4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3. COVID-19 and Geriatric Population: From Pathophysiology to Clinical Perspectives</w:t>
      </w:r>
    </w:p>
    <w:p w14:paraId="69D10309"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The COVID-19 pandemic has had the greatest health effects on the geriatric population, as well as a worldwide socioeconomic depression. Because of factors such as poor immunity and pre-existing co-morbidities such as hypertension, cardiovascular disease, and diabetes, the elderly population is prone to serious infections and has a high mortality rate. This is due to various factors, including atypical geriatric appearance, which may have resulted in diagnostic delay. According to WHO guidelines, only symptomatic people should be screened for RT-PCR, but only a small percentage of the population was tested, leaving a majority of the population undiagnosed. The elderly </w:t>
      </w:r>
      <w:proofErr w:type="gramStart"/>
      <w:r w:rsidRPr="00703566">
        <w:rPr>
          <w:rFonts w:ascii="Times New Roman" w:hAnsi="Times New Roman" w:cs="Times New Roman"/>
          <w:sz w:val="24"/>
          <w:szCs w:val="24"/>
        </w:rPr>
        <w:t>have</w:t>
      </w:r>
      <w:proofErr w:type="gramEnd"/>
      <w:r w:rsidRPr="00703566">
        <w:rPr>
          <w:rFonts w:ascii="Times New Roman" w:hAnsi="Times New Roman" w:cs="Times New Roman"/>
          <w:sz w:val="24"/>
          <w:szCs w:val="24"/>
        </w:rPr>
        <w:t xml:space="preserve"> a more serious type of pneumonia, a higher number of neutrophils and C-reactive protein, fewer lymphocytes, and a higher proportion of multiple lobe involvement. Due to the severe social suppression experienced during the COVID-19 pandemic, the risk of mental and physical side effects has increased, making older adults more vulnerable to depression and anxiety (</w:t>
      </w:r>
      <w:proofErr w:type="spellStart"/>
      <w:r w:rsidRPr="00703566">
        <w:rPr>
          <w:rFonts w:ascii="Times New Roman" w:hAnsi="Times New Roman" w:cs="Times New Roman"/>
          <w:sz w:val="24"/>
          <w:szCs w:val="24"/>
        </w:rPr>
        <w:t>Bansod</w:t>
      </w:r>
      <w:proofErr w:type="spellEnd"/>
      <w:r w:rsidRPr="00703566">
        <w:rPr>
          <w:rFonts w:ascii="Times New Roman" w:hAnsi="Times New Roman" w:cs="Times New Roman"/>
          <w:sz w:val="24"/>
          <w:szCs w:val="24"/>
        </w:rPr>
        <w:t xml:space="preserve"> et al., 2021).</w:t>
      </w:r>
    </w:p>
    <w:p w14:paraId="126E5FEA" w14:textId="77777777" w:rsidR="00703566" w:rsidRPr="00703566" w:rsidRDefault="00703566" w:rsidP="00703566">
      <w:pPr>
        <w:spacing w:line="480" w:lineRule="auto"/>
        <w:jc w:val="both"/>
        <w:rPr>
          <w:rFonts w:ascii="Times New Roman" w:hAnsi="Times New Roman" w:cs="Times New Roman"/>
          <w:sz w:val="24"/>
          <w:szCs w:val="24"/>
        </w:rPr>
      </w:pPr>
    </w:p>
    <w:p w14:paraId="2F626036"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4. Risk factors for predicting mortality in elderly patients with COVID-19: A review of clinical data in China</w:t>
      </w:r>
    </w:p>
    <w:p w14:paraId="6C11C70A"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Though elderly patients are at a higher risk of death, COVID-19 research has focused on elucidating the clinical features. This research aims to find risk factors for mortality in COVID-19 patients who are elderly. Since single-</w:t>
      </w:r>
      <w:proofErr w:type="spellStart"/>
      <w:r w:rsidRPr="00703566">
        <w:rPr>
          <w:rFonts w:ascii="Times New Roman" w:hAnsi="Times New Roman" w:cs="Times New Roman"/>
          <w:sz w:val="24"/>
          <w:szCs w:val="24"/>
        </w:rPr>
        <w:t>center</w:t>
      </w:r>
      <w:proofErr w:type="spellEnd"/>
      <w:r w:rsidRPr="00703566">
        <w:rPr>
          <w:rFonts w:ascii="Times New Roman" w:hAnsi="Times New Roman" w:cs="Times New Roman"/>
          <w:sz w:val="24"/>
          <w:szCs w:val="24"/>
        </w:rPr>
        <w:t xml:space="preserve"> studies are less likely to be insightful since the elderly make up a small percentage of the Chinese population. Age remained a key mortality risk factor among geriatric patients of various ages, according to data from 154 people from 26 </w:t>
      </w:r>
      <w:r w:rsidRPr="00703566">
        <w:rPr>
          <w:rFonts w:ascii="Times New Roman" w:hAnsi="Times New Roman" w:cs="Times New Roman"/>
          <w:sz w:val="24"/>
          <w:szCs w:val="24"/>
        </w:rPr>
        <w:lastRenderedPageBreak/>
        <w:t>provinces. Dyspnoea and chest pain/discomfort were more common in deceased patients, indicating extreme pneumonia, while fever was more common in survivors (Leung, 2020).</w:t>
      </w:r>
    </w:p>
    <w:p w14:paraId="010DB928"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5. Nutritional risk and outcomes in intensive care unit patients with severe acute respiratory syndrome coronavirus</w:t>
      </w:r>
    </w:p>
    <w:p w14:paraId="0684E40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As the Severe Acute Respiratory Syndrome Coronavirus disease (SARS-CoV-2/COVID-19) spread across the world, intensive care units (ICUs) were forced to confront a new fact, one in which the need for treatment increased dramatically. COVID-19 patients often face major dietary challenges, which can harm their nutritional status. This study aimed to see if there were any links between nutritional risk and duration of hospital stay and clinical outcome in COVID-19 ICU patients (</w:t>
      </w:r>
      <w:proofErr w:type="spellStart"/>
      <w:r w:rsidRPr="00703566">
        <w:rPr>
          <w:rFonts w:ascii="Times New Roman" w:hAnsi="Times New Roman" w:cs="Times New Roman"/>
          <w:sz w:val="24"/>
          <w:szCs w:val="24"/>
        </w:rPr>
        <w:t>Poulia</w:t>
      </w:r>
      <w:proofErr w:type="spellEnd"/>
      <w:r w:rsidRPr="00703566">
        <w:rPr>
          <w:rFonts w:ascii="Times New Roman" w:hAnsi="Times New Roman" w:cs="Times New Roman"/>
          <w:sz w:val="24"/>
          <w:szCs w:val="24"/>
        </w:rPr>
        <w:t xml:space="preserve"> et al., 2020). </w:t>
      </w:r>
    </w:p>
    <w:p w14:paraId="332C0E93" w14:textId="77777777" w:rsidR="00703566" w:rsidRPr="00703566" w:rsidRDefault="00703566" w:rsidP="00703566">
      <w:pPr>
        <w:spacing w:line="480" w:lineRule="auto"/>
        <w:jc w:val="both"/>
        <w:rPr>
          <w:rFonts w:ascii="Times New Roman" w:hAnsi="Times New Roman" w:cs="Times New Roman"/>
          <w:sz w:val="24"/>
          <w:szCs w:val="24"/>
        </w:rPr>
      </w:pPr>
    </w:p>
    <w:p w14:paraId="3C37E751" w14:textId="77777777" w:rsidR="00703566" w:rsidRPr="00703566" w:rsidRDefault="00703566" w:rsidP="00703566">
      <w:pPr>
        <w:spacing w:line="480" w:lineRule="auto"/>
        <w:jc w:val="both"/>
        <w:rPr>
          <w:rFonts w:ascii="Times New Roman" w:hAnsi="Times New Roman" w:cs="Times New Roman"/>
          <w:sz w:val="24"/>
          <w:szCs w:val="24"/>
        </w:rPr>
      </w:pPr>
    </w:p>
    <w:p w14:paraId="47B1D4AC" w14:textId="77777777" w:rsidR="00703566" w:rsidRPr="00703566" w:rsidRDefault="00703566" w:rsidP="00703566">
      <w:pPr>
        <w:spacing w:line="480" w:lineRule="auto"/>
        <w:jc w:val="both"/>
        <w:rPr>
          <w:rFonts w:ascii="Times New Roman" w:hAnsi="Times New Roman" w:cs="Times New Roman"/>
          <w:sz w:val="24"/>
          <w:szCs w:val="24"/>
        </w:rPr>
      </w:pPr>
    </w:p>
    <w:p w14:paraId="0C389C29" w14:textId="77777777" w:rsidR="00703566" w:rsidRPr="00703566" w:rsidRDefault="00703566" w:rsidP="00703566">
      <w:pPr>
        <w:spacing w:line="480" w:lineRule="auto"/>
        <w:jc w:val="both"/>
        <w:rPr>
          <w:rFonts w:ascii="Times New Roman" w:hAnsi="Times New Roman" w:cs="Times New Roman"/>
          <w:sz w:val="24"/>
          <w:szCs w:val="24"/>
        </w:rPr>
      </w:pPr>
    </w:p>
    <w:p w14:paraId="72CB83EB" w14:textId="77777777" w:rsidR="00703566" w:rsidRPr="00703566" w:rsidRDefault="00703566" w:rsidP="00703566">
      <w:pPr>
        <w:spacing w:line="480" w:lineRule="auto"/>
        <w:jc w:val="both"/>
        <w:rPr>
          <w:rFonts w:ascii="Times New Roman" w:hAnsi="Times New Roman" w:cs="Times New Roman"/>
          <w:sz w:val="24"/>
          <w:szCs w:val="24"/>
        </w:rPr>
      </w:pPr>
    </w:p>
    <w:p w14:paraId="0490C2F7" w14:textId="77777777" w:rsidR="00703566" w:rsidRPr="00703566" w:rsidRDefault="00703566" w:rsidP="00703566">
      <w:pPr>
        <w:spacing w:line="480" w:lineRule="auto"/>
        <w:jc w:val="both"/>
        <w:rPr>
          <w:rFonts w:ascii="Times New Roman" w:hAnsi="Times New Roman" w:cs="Times New Roman"/>
          <w:sz w:val="24"/>
          <w:szCs w:val="24"/>
        </w:rPr>
      </w:pPr>
    </w:p>
    <w:p w14:paraId="4094231F" w14:textId="77777777" w:rsidR="00703566" w:rsidRPr="00703566" w:rsidRDefault="00703566" w:rsidP="00703566">
      <w:pPr>
        <w:spacing w:line="480" w:lineRule="auto"/>
        <w:jc w:val="both"/>
        <w:rPr>
          <w:rFonts w:ascii="Times New Roman" w:hAnsi="Times New Roman" w:cs="Times New Roman"/>
          <w:sz w:val="24"/>
          <w:szCs w:val="24"/>
        </w:rPr>
      </w:pPr>
    </w:p>
    <w:p w14:paraId="0E14283E" w14:textId="77777777" w:rsidR="00703566" w:rsidRPr="00703566" w:rsidRDefault="00703566" w:rsidP="00703566">
      <w:pPr>
        <w:spacing w:line="480" w:lineRule="auto"/>
        <w:jc w:val="both"/>
        <w:rPr>
          <w:rFonts w:ascii="Times New Roman" w:hAnsi="Times New Roman" w:cs="Times New Roman"/>
          <w:sz w:val="24"/>
          <w:szCs w:val="24"/>
        </w:rPr>
      </w:pPr>
    </w:p>
    <w:p w14:paraId="36588D0B" w14:textId="77777777" w:rsidR="00703566" w:rsidRPr="00703566" w:rsidRDefault="00703566" w:rsidP="00703566">
      <w:pPr>
        <w:spacing w:line="480" w:lineRule="auto"/>
        <w:jc w:val="both"/>
        <w:rPr>
          <w:rFonts w:ascii="Times New Roman" w:hAnsi="Times New Roman" w:cs="Times New Roman"/>
          <w:sz w:val="24"/>
          <w:szCs w:val="24"/>
        </w:rPr>
      </w:pPr>
    </w:p>
    <w:p w14:paraId="7E27B383" w14:textId="77777777" w:rsidR="00703566" w:rsidRPr="00703566" w:rsidRDefault="00703566" w:rsidP="00703566">
      <w:pPr>
        <w:spacing w:line="480" w:lineRule="auto"/>
        <w:jc w:val="both"/>
        <w:rPr>
          <w:rFonts w:ascii="Times New Roman" w:hAnsi="Times New Roman" w:cs="Times New Roman"/>
          <w:sz w:val="24"/>
          <w:szCs w:val="24"/>
        </w:rPr>
      </w:pPr>
    </w:p>
    <w:p w14:paraId="541EA498" w14:textId="77777777" w:rsidR="00703566" w:rsidRPr="00703566" w:rsidRDefault="00703566" w:rsidP="00703566">
      <w:pPr>
        <w:spacing w:line="480" w:lineRule="auto"/>
        <w:jc w:val="both"/>
        <w:rPr>
          <w:rFonts w:ascii="Times New Roman" w:hAnsi="Times New Roman" w:cs="Times New Roman"/>
          <w:sz w:val="24"/>
          <w:szCs w:val="24"/>
        </w:rPr>
      </w:pPr>
    </w:p>
    <w:p w14:paraId="369D4CBC" w14:textId="77777777" w:rsidR="00703566" w:rsidRPr="00703566" w:rsidRDefault="00703566" w:rsidP="00703566">
      <w:pPr>
        <w:spacing w:line="480" w:lineRule="auto"/>
        <w:jc w:val="both"/>
        <w:rPr>
          <w:rFonts w:ascii="Times New Roman" w:hAnsi="Times New Roman" w:cs="Times New Roman"/>
          <w:sz w:val="24"/>
          <w:szCs w:val="24"/>
        </w:rPr>
      </w:pPr>
    </w:p>
    <w:p w14:paraId="4B95A941" w14:textId="77777777" w:rsidR="00703566" w:rsidRPr="00703566" w:rsidRDefault="00703566" w:rsidP="00703566">
      <w:pPr>
        <w:spacing w:line="480" w:lineRule="auto"/>
        <w:jc w:val="both"/>
        <w:rPr>
          <w:rFonts w:ascii="Times New Roman" w:hAnsi="Times New Roman" w:cs="Times New Roman"/>
          <w:sz w:val="24"/>
          <w:szCs w:val="24"/>
        </w:rPr>
      </w:pPr>
    </w:p>
    <w:p w14:paraId="478AFE1A" w14:textId="77777777" w:rsidR="00703566" w:rsidRPr="00703566" w:rsidRDefault="00703566" w:rsidP="00703566">
      <w:pPr>
        <w:spacing w:line="480" w:lineRule="auto"/>
        <w:jc w:val="both"/>
        <w:rPr>
          <w:rFonts w:ascii="Times New Roman" w:hAnsi="Times New Roman" w:cs="Times New Roman"/>
          <w:sz w:val="24"/>
          <w:szCs w:val="24"/>
        </w:rPr>
      </w:pPr>
    </w:p>
    <w:p w14:paraId="3A42FCF8" w14:textId="77777777" w:rsidR="00703566" w:rsidRPr="00703566" w:rsidRDefault="00703566" w:rsidP="00703566">
      <w:pPr>
        <w:spacing w:line="480" w:lineRule="auto"/>
        <w:jc w:val="both"/>
        <w:rPr>
          <w:rFonts w:ascii="Times New Roman" w:hAnsi="Times New Roman" w:cs="Times New Roman"/>
          <w:sz w:val="24"/>
          <w:szCs w:val="24"/>
        </w:rPr>
      </w:pPr>
    </w:p>
    <w:p w14:paraId="36EF818C" w14:textId="77777777" w:rsidR="00703566" w:rsidRPr="00703566" w:rsidRDefault="00703566" w:rsidP="00703566">
      <w:pPr>
        <w:spacing w:line="480" w:lineRule="auto"/>
        <w:jc w:val="both"/>
        <w:rPr>
          <w:rFonts w:ascii="Times New Roman" w:hAnsi="Times New Roman" w:cs="Times New Roman"/>
          <w:sz w:val="24"/>
          <w:szCs w:val="24"/>
        </w:rPr>
      </w:pPr>
    </w:p>
    <w:p w14:paraId="1D49AE54" w14:textId="77777777" w:rsidR="00703566" w:rsidRPr="00703566" w:rsidRDefault="00703566" w:rsidP="00703566">
      <w:pPr>
        <w:spacing w:line="480" w:lineRule="auto"/>
        <w:jc w:val="both"/>
        <w:rPr>
          <w:rFonts w:ascii="Times New Roman" w:hAnsi="Times New Roman" w:cs="Times New Roman"/>
          <w:sz w:val="24"/>
          <w:szCs w:val="24"/>
        </w:rPr>
      </w:pPr>
    </w:p>
    <w:p w14:paraId="2EB19785" w14:textId="77777777" w:rsidR="00703566" w:rsidRPr="00703566" w:rsidRDefault="00703566" w:rsidP="00703566">
      <w:pPr>
        <w:spacing w:line="480" w:lineRule="auto"/>
        <w:jc w:val="both"/>
        <w:rPr>
          <w:rFonts w:ascii="Times New Roman" w:hAnsi="Times New Roman" w:cs="Times New Roman"/>
          <w:sz w:val="24"/>
          <w:szCs w:val="24"/>
        </w:rPr>
      </w:pPr>
    </w:p>
    <w:p w14:paraId="6E0E9C56" w14:textId="77777777" w:rsidR="00703566" w:rsidRPr="00703566" w:rsidRDefault="00703566" w:rsidP="00703566">
      <w:pPr>
        <w:spacing w:line="480" w:lineRule="auto"/>
        <w:jc w:val="both"/>
        <w:rPr>
          <w:rFonts w:ascii="Times New Roman" w:hAnsi="Times New Roman" w:cs="Times New Roman"/>
          <w:sz w:val="24"/>
          <w:szCs w:val="24"/>
        </w:rPr>
      </w:pPr>
    </w:p>
    <w:p w14:paraId="419072F9" w14:textId="77777777" w:rsidR="00703566" w:rsidRPr="00703566" w:rsidRDefault="00703566" w:rsidP="00703566">
      <w:pPr>
        <w:spacing w:line="480" w:lineRule="auto"/>
        <w:jc w:val="both"/>
        <w:rPr>
          <w:rFonts w:ascii="Times New Roman" w:hAnsi="Times New Roman" w:cs="Times New Roman"/>
          <w:sz w:val="24"/>
          <w:szCs w:val="24"/>
        </w:rPr>
      </w:pPr>
    </w:p>
    <w:p w14:paraId="5D978B4E" w14:textId="77777777" w:rsidR="00703566" w:rsidRPr="00703566" w:rsidRDefault="00703566" w:rsidP="00703566">
      <w:pPr>
        <w:spacing w:line="480" w:lineRule="auto"/>
        <w:jc w:val="both"/>
        <w:rPr>
          <w:rFonts w:ascii="Times New Roman" w:hAnsi="Times New Roman" w:cs="Times New Roman"/>
          <w:sz w:val="24"/>
          <w:szCs w:val="24"/>
        </w:rPr>
      </w:pPr>
    </w:p>
    <w:p w14:paraId="19C808CE" w14:textId="77777777" w:rsidR="00703566" w:rsidRPr="00703566" w:rsidRDefault="00703566" w:rsidP="00703566">
      <w:pPr>
        <w:spacing w:line="480" w:lineRule="auto"/>
        <w:ind w:left="1440" w:firstLine="720"/>
        <w:jc w:val="both"/>
        <w:rPr>
          <w:rFonts w:ascii="Times New Roman" w:hAnsi="Times New Roman" w:cs="Times New Roman"/>
          <w:b/>
          <w:bCs/>
          <w:sz w:val="56"/>
          <w:szCs w:val="56"/>
        </w:rPr>
      </w:pPr>
      <w:r w:rsidRPr="00703566">
        <w:rPr>
          <w:rFonts w:ascii="Times New Roman" w:hAnsi="Times New Roman" w:cs="Times New Roman"/>
          <w:b/>
          <w:bCs/>
          <w:sz w:val="56"/>
          <w:szCs w:val="56"/>
        </w:rPr>
        <w:t>METHODOLOGY</w:t>
      </w:r>
    </w:p>
    <w:p w14:paraId="2A0675AB" w14:textId="77777777" w:rsidR="00703566" w:rsidRPr="00703566" w:rsidRDefault="00703566" w:rsidP="00703566">
      <w:pPr>
        <w:spacing w:line="480" w:lineRule="auto"/>
        <w:jc w:val="both"/>
        <w:rPr>
          <w:rFonts w:ascii="Times New Roman" w:hAnsi="Times New Roman" w:cs="Times New Roman"/>
          <w:sz w:val="24"/>
          <w:szCs w:val="24"/>
        </w:rPr>
      </w:pPr>
    </w:p>
    <w:p w14:paraId="54DCE8C0" w14:textId="77777777" w:rsidR="00703566" w:rsidRPr="00703566" w:rsidRDefault="00703566" w:rsidP="00703566">
      <w:pPr>
        <w:spacing w:line="480" w:lineRule="auto"/>
        <w:jc w:val="both"/>
        <w:rPr>
          <w:rFonts w:ascii="Times New Roman" w:hAnsi="Times New Roman" w:cs="Times New Roman"/>
          <w:sz w:val="24"/>
          <w:szCs w:val="24"/>
        </w:rPr>
      </w:pPr>
    </w:p>
    <w:p w14:paraId="39DA0077" w14:textId="77777777" w:rsidR="00703566" w:rsidRPr="00703566" w:rsidRDefault="00703566" w:rsidP="00703566">
      <w:pPr>
        <w:spacing w:line="480" w:lineRule="auto"/>
        <w:jc w:val="both"/>
        <w:rPr>
          <w:rFonts w:ascii="Times New Roman" w:hAnsi="Times New Roman" w:cs="Times New Roman"/>
          <w:b/>
          <w:bCs/>
          <w:sz w:val="24"/>
          <w:szCs w:val="24"/>
        </w:rPr>
      </w:pPr>
    </w:p>
    <w:p w14:paraId="7B50B296" w14:textId="77777777" w:rsidR="00703566" w:rsidRPr="00703566" w:rsidRDefault="00703566" w:rsidP="00703566">
      <w:pPr>
        <w:spacing w:line="480" w:lineRule="auto"/>
        <w:jc w:val="both"/>
        <w:rPr>
          <w:rFonts w:ascii="Times New Roman" w:hAnsi="Times New Roman" w:cs="Times New Roman"/>
          <w:b/>
          <w:bCs/>
          <w:sz w:val="24"/>
          <w:szCs w:val="24"/>
        </w:rPr>
      </w:pPr>
    </w:p>
    <w:p w14:paraId="61E03121" w14:textId="77777777" w:rsidR="00703566" w:rsidRPr="00703566" w:rsidRDefault="00703566" w:rsidP="00703566">
      <w:pPr>
        <w:spacing w:line="480" w:lineRule="auto"/>
        <w:jc w:val="both"/>
        <w:rPr>
          <w:rFonts w:ascii="Times New Roman" w:hAnsi="Times New Roman" w:cs="Times New Roman"/>
          <w:b/>
          <w:bCs/>
          <w:sz w:val="24"/>
          <w:szCs w:val="24"/>
        </w:rPr>
      </w:pPr>
    </w:p>
    <w:p w14:paraId="70C9BCF1" w14:textId="77777777" w:rsidR="00703566" w:rsidRPr="00703566" w:rsidRDefault="00703566" w:rsidP="00703566">
      <w:pPr>
        <w:spacing w:line="480" w:lineRule="auto"/>
        <w:jc w:val="both"/>
        <w:rPr>
          <w:rFonts w:ascii="Times New Roman" w:hAnsi="Times New Roman" w:cs="Times New Roman"/>
          <w:b/>
          <w:bCs/>
          <w:sz w:val="24"/>
          <w:szCs w:val="24"/>
        </w:rPr>
      </w:pPr>
    </w:p>
    <w:p w14:paraId="0662505B" w14:textId="77777777" w:rsidR="00703566" w:rsidRPr="00703566" w:rsidRDefault="00703566" w:rsidP="00703566">
      <w:pPr>
        <w:spacing w:line="480" w:lineRule="auto"/>
        <w:jc w:val="both"/>
        <w:rPr>
          <w:rFonts w:ascii="Times New Roman" w:hAnsi="Times New Roman" w:cs="Times New Roman"/>
          <w:b/>
          <w:bCs/>
          <w:sz w:val="24"/>
          <w:szCs w:val="24"/>
        </w:rPr>
      </w:pPr>
    </w:p>
    <w:p w14:paraId="04B16EA1" w14:textId="77777777" w:rsidR="00703566" w:rsidRPr="00703566" w:rsidRDefault="00703566" w:rsidP="00703566">
      <w:pPr>
        <w:spacing w:line="480" w:lineRule="auto"/>
        <w:jc w:val="both"/>
        <w:rPr>
          <w:rFonts w:ascii="Times New Roman" w:hAnsi="Times New Roman" w:cs="Times New Roman"/>
          <w:b/>
          <w:bCs/>
          <w:sz w:val="24"/>
          <w:szCs w:val="24"/>
        </w:rPr>
      </w:pPr>
    </w:p>
    <w:p w14:paraId="25EDD97A" w14:textId="77777777" w:rsidR="00703566" w:rsidRPr="00703566" w:rsidRDefault="00703566" w:rsidP="00703566">
      <w:pPr>
        <w:spacing w:line="480" w:lineRule="auto"/>
        <w:ind w:left="1440" w:firstLine="720"/>
        <w:jc w:val="both"/>
        <w:rPr>
          <w:rFonts w:ascii="Times New Roman" w:hAnsi="Times New Roman" w:cs="Times New Roman"/>
          <w:b/>
          <w:bCs/>
          <w:sz w:val="24"/>
          <w:szCs w:val="24"/>
        </w:rPr>
      </w:pPr>
      <w:r w:rsidRPr="00703566">
        <w:rPr>
          <w:rFonts w:ascii="Times New Roman" w:hAnsi="Times New Roman" w:cs="Times New Roman"/>
          <w:b/>
          <w:bCs/>
          <w:sz w:val="24"/>
          <w:szCs w:val="24"/>
        </w:rPr>
        <w:lastRenderedPageBreak/>
        <w:t xml:space="preserve">            CHAPTER -3</w:t>
      </w:r>
    </w:p>
    <w:p w14:paraId="30BCDFA2"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                                              METHODOLOGY</w:t>
      </w:r>
    </w:p>
    <w:p w14:paraId="58DC1A2C"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Research methodology is the science of studying how studies are carried out scientifically (Kothari, 2004). </w:t>
      </w:r>
      <w:r w:rsidRPr="00703566">
        <w:rPr>
          <w:rFonts w:ascii="Times New Roman" w:hAnsi="Times New Roman" w:cs="Times New Roman"/>
          <w:b/>
          <w:bCs/>
          <w:sz w:val="24"/>
          <w:szCs w:val="24"/>
        </w:rPr>
        <w:t>Determinants of COVID Outbreak and Nutritional Profile of Geriatric COVID -19 Patients in Coastal Areas of Alappuzha</w:t>
      </w:r>
      <w:r w:rsidRPr="00703566">
        <w:rPr>
          <w:rFonts w:ascii="Times New Roman" w:hAnsi="Times New Roman" w:cs="Times New Roman"/>
          <w:sz w:val="24"/>
          <w:szCs w:val="24"/>
        </w:rPr>
        <w:t>” are discussed under the following headings.</w:t>
      </w:r>
    </w:p>
    <w:p w14:paraId="0EE4FF66"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3.1 Selection of Study Area </w:t>
      </w:r>
    </w:p>
    <w:p w14:paraId="0226B7BD"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3.2 Selection of Samples</w:t>
      </w:r>
    </w:p>
    <w:p w14:paraId="22636C4F"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3.3 Selection of Methods and Tools </w:t>
      </w:r>
    </w:p>
    <w:p w14:paraId="5B3ED157"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3.3.1 Personal Data of Older Adults</w:t>
      </w:r>
    </w:p>
    <w:p w14:paraId="13F1E1C2"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3.3.2 Health Profile of Old Age</w:t>
      </w:r>
    </w:p>
    <w:p w14:paraId="416E7936"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3.3.3 Assessment of Nutritional Status of Old Age</w:t>
      </w:r>
    </w:p>
    <w:p w14:paraId="462CED20"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3.3.4 Anthropometric Measurements</w:t>
      </w:r>
    </w:p>
    <w:p w14:paraId="4491BCAA"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3.3.5 Assessment of Stress in Geriatrics</w:t>
      </w:r>
    </w:p>
    <w:p w14:paraId="25FFB002"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 3.1 Selection of Study Area</w:t>
      </w:r>
    </w:p>
    <w:p w14:paraId="5D1005EE"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           The area selected for study is a coastal area of Cherthala thaluk (</w:t>
      </w:r>
      <w:proofErr w:type="spellStart"/>
      <w:r w:rsidRPr="00703566">
        <w:rPr>
          <w:rFonts w:ascii="Times New Roman" w:hAnsi="Times New Roman" w:cs="Times New Roman"/>
          <w:sz w:val="24"/>
          <w:szCs w:val="24"/>
        </w:rPr>
        <w:t>Kadakkarapally</w:t>
      </w:r>
      <w:proofErr w:type="spellEnd"/>
      <w:r w:rsidRPr="00703566">
        <w:rPr>
          <w:rFonts w:ascii="Times New Roman" w:hAnsi="Times New Roman" w:cs="Times New Roman"/>
          <w:sz w:val="24"/>
          <w:szCs w:val="24"/>
        </w:rPr>
        <w:t xml:space="preserve"> Grama Panchayath of Alappuzha district in Kerala). Alappuzha is one of the longest coastlines in Kerala state. It has a continuous coastline and extends about 82 </w:t>
      </w:r>
      <w:proofErr w:type="spellStart"/>
      <w:r w:rsidRPr="00703566">
        <w:rPr>
          <w:rFonts w:ascii="Times New Roman" w:hAnsi="Times New Roman" w:cs="Times New Roman"/>
          <w:sz w:val="24"/>
          <w:szCs w:val="24"/>
        </w:rPr>
        <w:t>Kilometers</w:t>
      </w:r>
      <w:proofErr w:type="spellEnd"/>
      <w:r w:rsidRPr="00703566">
        <w:rPr>
          <w:rFonts w:ascii="Times New Roman" w:hAnsi="Times New Roman" w:cs="Times New Roman"/>
          <w:sz w:val="24"/>
          <w:szCs w:val="24"/>
        </w:rPr>
        <w:t xml:space="preserve"> (Thomas &amp; Sheela.,2011). The population of the coastline is about 21,09,160, in which ninety-one villages are included in the coastline of Alappuzha. Cherthala is a municipal town and taluk in the Alappuzha district. Cherthala thaluk is a part of Alappuzha district panchayath and this area is subdivided into ten block panchayath, out of which four block panchayath are lie on the </w:t>
      </w:r>
      <w:r w:rsidRPr="00703566">
        <w:rPr>
          <w:rFonts w:ascii="Times New Roman" w:hAnsi="Times New Roman" w:cs="Times New Roman"/>
          <w:sz w:val="24"/>
          <w:szCs w:val="24"/>
        </w:rPr>
        <w:lastRenderedPageBreak/>
        <w:t xml:space="preserve">coastline of Alappuzha, in which most of the people are dependent on the marine economy and they are undergoing middle income or low-income categories (Salim et al., 2014). This area was chosen by considering elements such as availability of samples because 443 positive cases were reported in 2 wards of </w:t>
      </w:r>
      <w:proofErr w:type="spellStart"/>
      <w:r w:rsidRPr="00703566">
        <w:rPr>
          <w:rFonts w:ascii="Times New Roman" w:hAnsi="Times New Roman" w:cs="Times New Roman"/>
          <w:sz w:val="24"/>
          <w:szCs w:val="24"/>
        </w:rPr>
        <w:t>Kadakkarapally</w:t>
      </w:r>
      <w:proofErr w:type="spellEnd"/>
      <w:r w:rsidRPr="00703566">
        <w:rPr>
          <w:rFonts w:ascii="Times New Roman" w:hAnsi="Times New Roman" w:cs="Times New Roman"/>
          <w:sz w:val="24"/>
          <w:szCs w:val="24"/>
        </w:rPr>
        <w:t xml:space="preserve"> grama panchayath.</w:t>
      </w:r>
    </w:p>
    <w:p w14:paraId="4AC0670F"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eastAsia="Calibri" w:hAnsi="Times New Roman" w:cs="Times New Roman"/>
          <w:noProof/>
          <w:sz w:val="24"/>
          <w:szCs w:val="24"/>
          <w:lang w:val="en-US"/>
        </w:rPr>
        <w:drawing>
          <wp:anchor distT="0" distB="0" distL="114300" distR="114300" simplePos="0" relativeHeight="251659264" behindDoc="0" locked="0" layoutInCell="1" allowOverlap="1" wp14:anchorId="1E5166B8" wp14:editId="33DE567E">
            <wp:simplePos x="0" y="0"/>
            <wp:positionH relativeFrom="margin">
              <wp:align>center</wp:align>
            </wp:positionH>
            <wp:positionV relativeFrom="paragraph">
              <wp:posOffset>593725</wp:posOffset>
            </wp:positionV>
            <wp:extent cx="4834890" cy="2796540"/>
            <wp:effectExtent l="133350" t="114300" r="137160" b="156210"/>
            <wp:wrapSquare wrapText="bothSides"/>
            <wp:docPr id="2" name="Picture 0" descr="cherthala thaluk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thala thaluk image.jpg"/>
                    <pic:cNvPicPr/>
                  </pic:nvPicPr>
                  <pic:blipFill>
                    <a:blip r:embed="rId5">
                      <a:extLst>
                        <a:ext uri="{28A0092B-C50C-407E-A947-70E740481C1C}">
                          <a14:useLocalDpi xmlns:a14="http://schemas.microsoft.com/office/drawing/2010/main" val="0"/>
                        </a:ext>
                      </a:extLst>
                    </a:blip>
                    <a:stretch>
                      <a:fillRect/>
                    </a:stretch>
                  </pic:blipFill>
                  <pic:spPr>
                    <a:xfrm>
                      <a:off x="0" y="0"/>
                      <a:ext cx="4834890" cy="279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23E7DFE" w14:textId="77777777" w:rsidR="00703566" w:rsidRPr="00703566" w:rsidRDefault="00703566" w:rsidP="00703566">
      <w:pPr>
        <w:spacing w:after="200"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Figure 1: Overview of Cherthala thaluk</w:t>
      </w:r>
    </w:p>
    <w:p w14:paraId="4274676B"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3.2 Selection of samples</w:t>
      </w:r>
    </w:p>
    <w:p w14:paraId="06B04E2A"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b/>
          <w:bCs/>
          <w:sz w:val="24"/>
          <w:szCs w:val="24"/>
        </w:rPr>
        <w:t>           </w:t>
      </w:r>
      <w:r w:rsidRPr="00703566">
        <w:rPr>
          <w:rFonts w:ascii="Times New Roman" w:hAnsi="Times New Roman" w:cs="Times New Roman"/>
          <w:sz w:val="24"/>
          <w:szCs w:val="24"/>
        </w:rPr>
        <w:t>The unit selected for sampling is known as samples. Samples are selected from particular groups, and they have identical features. Purposive sampling is adopted for this study. It is a sampling approach wherein the researcher is based on his or her judgment while selecting the individuals to take part in the study (</w:t>
      </w:r>
      <w:proofErr w:type="spellStart"/>
      <w:r w:rsidRPr="00703566">
        <w:rPr>
          <w:rFonts w:ascii="Times New Roman" w:hAnsi="Times New Roman" w:cs="Times New Roman"/>
          <w:sz w:val="24"/>
          <w:szCs w:val="24"/>
        </w:rPr>
        <w:t>Aldred</w:t>
      </w:r>
      <w:proofErr w:type="spellEnd"/>
      <w:r w:rsidRPr="00703566">
        <w:rPr>
          <w:rFonts w:ascii="Times New Roman" w:hAnsi="Times New Roman" w:cs="Times New Roman"/>
          <w:sz w:val="24"/>
          <w:szCs w:val="24"/>
        </w:rPr>
        <w:t xml:space="preserve"> et al., 2004).</w:t>
      </w:r>
    </w:p>
    <w:p w14:paraId="34B35004" w14:textId="77777777" w:rsidR="00703566" w:rsidRPr="00703566" w:rsidRDefault="00703566" w:rsidP="00703566">
      <w:pPr>
        <w:spacing w:line="480" w:lineRule="auto"/>
        <w:jc w:val="both"/>
        <w:rPr>
          <w:rFonts w:ascii="Times New Roman" w:hAnsi="Times New Roman" w:cs="Times New Roman"/>
          <w:sz w:val="24"/>
          <w:szCs w:val="24"/>
        </w:rPr>
      </w:pPr>
      <w:r w:rsidRPr="00703566">
        <w:rPr>
          <w:rFonts w:ascii="Times New Roman" w:hAnsi="Times New Roman" w:cs="Times New Roman"/>
          <w:sz w:val="24"/>
          <w:szCs w:val="24"/>
        </w:rPr>
        <w:t>100 samples of old age people from Cherthala taluk (</w:t>
      </w:r>
      <w:proofErr w:type="spellStart"/>
      <w:r w:rsidRPr="00703566">
        <w:rPr>
          <w:rFonts w:ascii="Times New Roman" w:hAnsi="Times New Roman" w:cs="Times New Roman"/>
          <w:sz w:val="24"/>
          <w:szCs w:val="24"/>
        </w:rPr>
        <w:t>Kadakkarapally</w:t>
      </w:r>
      <w:proofErr w:type="spellEnd"/>
      <w:r w:rsidRPr="00703566">
        <w:rPr>
          <w:rFonts w:ascii="Times New Roman" w:hAnsi="Times New Roman" w:cs="Times New Roman"/>
          <w:sz w:val="24"/>
          <w:szCs w:val="24"/>
        </w:rPr>
        <w:t xml:space="preserve"> grama panchayath) are taken, out of which 50 are females and 50 are males. Above 55 years elderly are selected for the study through purposive sampling method from registers provided by health workers. Personal interview and telephonic interview were conducted for data collection because older </w:t>
      </w:r>
      <w:r w:rsidRPr="00703566">
        <w:rPr>
          <w:rFonts w:ascii="Times New Roman" w:hAnsi="Times New Roman" w:cs="Times New Roman"/>
          <w:sz w:val="24"/>
          <w:szCs w:val="24"/>
        </w:rPr>
        <w:lastRenderedPageBreak/>
        <w:t>people are not aware of new technology. Data will be collected not only directly from older people but also through close relatives of those who have difficulty answering. </w:t>
      </w:r>
    </w:p>
    <w:p w14:paraId="5E116A1D" w14:textId="77777777" w:rsidR="00703566" w:rsidRPr="00703566" w:rsidRDefault="00703566" w:rsidP="00703566">
      <w:pPr>
        <w:spacing w:line="480" w:lineRule="auto"/>
        <w:jc w:val="both"/>
        <w:rPr>
          <w:rFonts w:ascii="Times New Roman" w:hAnsi="Times New Roman" w:cs="Times New Roman"/>
          <w:b/>
          <w:bCs/>
          <w:sz w:val="24"/>
          <w:szCs w:val="24"/>
        </w:rPr>
      </w:pPr>
    </w:p>
    <w:p w14:paraId="5D20D15F" w14:textId="77777777" w:rsidR="00703566" w:rsidRPr="00703566" w:rsidRDefault="00703566" w:rsidP="00703566">
      <w:pPr>
        <w:spacing w:line="480" w:lineRule="auto"/>
        <w:jc w:val="center"/>
        <w:rPr>
          <w:rFonts w:ascii="Times New Roman" w:hAnsi="Times New Roman" w:cs="Times New Roman"/>
          <w:b/>
          <w:bCs/>
          <w:sz w:val="24"/>
          <w:szCs w:val="24"/>
        </w:rPr>
      </w:pPr>
      <w:r w:rsidRPr="00703566">
        <w:rPr>
          <w:rFonts w:ascii="Times New Roman" w:hAnsi="Times New Roman" w:cs="Times New Roman"/>
          <w:b/>
          <w:bCs/>
          <w:noProof/>
          <w:sz w:val="24"/>
          <w:szCs w:val="24"/>
        </w:rPr>
        <w:drawing>
          <wp:inline distT="0" distB="0" distL="0" distR="0" wp14:anchorId="73A8FBB5" wp14:editId="34CD4A16">
            <wp:extent cx="3857625" cy="37397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675" cy="3752419"/>
                    </a:xfrm>
                    <a:prstGeom prst="rect">
                      <a:avLst/>
                    </a:prstGeom>
                    <a:noFill/>
                  </pic:spPr>
                </pic:pic>
              </a:graphicData>
            </a:graphic>
          </wp:inline>
        </w:drawing>
      </w:r>
    </w:p>
    <w:p w14:paraId="4F0D067F" w14:textId="77777777" w:rsidR="00703566" w:rsidRPr="00703566" w:rsidRDefault="00703566" w:rsidP="00703566">
      <w:pPr>
        <w:spacing w:after="200" w:line="480" w:lineRule="auto"/>
        <w:jc w:val="center"/>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Plate 1 Measuring respondent</w:t>
      </w:r>
      <w:r w:rsidRPr="00703566">
        <w:rPr>
          <w:rFonts w:ascii="Times New Roman" w:eastAsia="Calibri" w:hAnsi="Times New Roman" w:cs="Times New Roman"/>
          <w:b/>
          <w:bCs/>
          <w:sz w:val="24"/>
          <w:szCs w:val="24"/>
          <w:vertAlign w:val="superscript"/>
          <w:lang w:val="en-US"/>
        </w:rPr>
        <w:t>,</w:t>
      </w:r>
      <w:r w:rsidRPr="00703566">
        <w:rPr>
          <w:rFonts w:ascii="Times New Roman" w:eastAsia="Calibri" w:hAnsi="Times New Roman" w:cs="Times New Roman"/>
          <w:b/>
          <w:bCs/>
          <w:sz w:val="24"/>
          <w:szCs w:val="24"/>
          <w:lang w:val="en-US"/>
        </w:rPr>
        <w:t xml:space="preserve"> s weight </w:t>
      </w:r>
    </w:p>
    <w:p w14:paraId="41BF1FF0" w14:textId="77777777" w:rsidR="00703566" w:rsidRPr="00703566" w:rsidRDefault="00703566" w:rsidP="00703566">
      <w:pPr>
        <w:spacing w:after="200" w:line="480" w:lineRule="auto"/>
        <w:jc w:val="center"/>
        <w:rPr>
          <w:rFonts w:ascii="Times New Roman" w:eastAsia="Calibri" w:hAnsi="Times New Roman" w:cs="Times New Roman"/>
          <w:sz w:val="24"/>
          <w:szCs w:val="24"/>
          <w:lang w:val="en-US"/>
        </w:rPr>
      </w:pPr>
      <w:r w:rsidRPr="00703566">
        <w:rPr>
          <w:rFonts w:ascii="Times New Roman" w:eastAsia="Calibri" w:hAnsi="Times New Roman" w:cs="Times New Roman"/>
          <w:noProof/>
          <w:sz w:val="24"/>
          <w:szCs w:val="24"/>
          <w:lang w:val="en-US"/>
        </w:rPr>
        <w:lastRenderedPageBreak/>
        <w:drawing>
          <wp:inline distT="0" distB="0" distL="0" distR="0" wp14:anchorId="42A0073B" wp14:editId="10424917">
            <wp:extent cx="3543300" cy="3825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3825240"/>
                    </a:xfrm>
                    <a:prstGeom prst="rect">
                      <a:avLst/>
                    </a:prstGeom>
                    <a:noFill/>
                  </pic:spPr>
                </pic:pic>
              </a:graphicData>
            </a:graphic>
          </wp:inline>
        </w:drawing>
      </w:r>
    </w:p>
    <w:p w14:paraId="5C38FFF2" w14:textId="77777777" w:rsidR="00703566" w:rsidRPr="00703566" w:rsidRDefault="00703566" w:rsidP="00703566">
      <w:pPr>
        <w:spacing w:after="200" w:line="480" w:lineRule="auto"/>
        <w:jc w:val="center"/>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Plate 2 Interviewing the sample </w:t>
      </w:r>
    </w:p>
    <w:p w14:paraId="11BFC4E1"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sz w:val="24"/>
          <w:szCs w:val="24"/>
          <w:lang w:val="en-US"/>
        </w:rPr>
        <w:t>3.3 Selection of Tools and Techniques for Data</w:t>
      </w:r>
      <w:r w:rsidRPr="00703566">
        <w:rPr>
          <w:rFonts w:ascii="Times New Roman" w:eastAsia="Calibri" w:hAnsi="Times New Roman" w:cs="Times New Roman"/>
          <w:sz w:val="24"/>
          <w:szCs w:val="24"/>
          <w:lang w:val="en-US"/>
        </w:rPr>
        <w:t xml:space="preserve"> </w:t>
      </w:r>
      <w:r w:rsidRPr="00703566">
        <w:rPr>
          <w:rFonts w:ascii="Times New Roman" w:eastAsia="Calibri" w:hAnsi="Times New Roman" w:cs="Times New Roman"/>
          <w:b/>
          <w:sz w:val="24"/>
          <w:szCs w:val="24"/>
          <w:lang w:val="en-US"/>
        </w:rPr>
        <w:t>Collection</w:t>
      </w:r>
    </w:p>
    <w:p w14:paraId="04F096AD"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It consists of list of questions with the choice of answers to acquire the specific information from the selected respondents </w:t>
      </w:r>
      <w:r w:rsidRPr="00703566">
        <w:rPr>
          <w:rFonts w:ascii="Times New Roman" w:eastAsia="Calibri" w:hAnsi="Times New Roman" w:cs="Times New Roman"/>
          <w:b/>
          <w:bCs/>
          <w:sz w:val="24"/>
          <w:szCs w:val="24"/>
          <w:lang w:val="en-US"/>
        </w:rPr>
        <w:t>(Appendix No 1)</w:t>
      </w:r>
      <w:r w:rsidRPr="00703566">
        <w:rPr>
          <w:rFonts w:ascii="Times New Roman" w:eastAsia="Calibri" w:hAnsi="Times New Roman" w:cs="Times New Roman"/>
          <w:sz w:val="24"/>
          <w:szCs w:val="24"/>
          <w:lang w:val="en-US"/>
        </w:rPr>
        <w:t xml:space="preserve">. A structured questionnaire is used for assessing personal data, dietary information, health profile, anthropometric measurements and quality of life after taking prior consent from family members as shown in </w:t>
      </w:r>
      <w:r w:rsidRPr="00703566">
        <w:rPr>
          <w:rFonts w:ascii="Times New Roman" w:eastAsia="Calibri" w:hAnsi="Times New Roman" w:cs="Times New Roman"/>
          <w:b/>
          <w:bCs/>
          <w:sz w:val="24"/>
          <w:szCs w:val="24"/>
          <w:lang w:val="en-US"/>
        </w:rPr>
        <w:t>Plate 2</w:t>
      </w:r>
      <w:r w:rsidRPr="00703566">
        <w:rPr>
          <w:rFonts w:ascii="Times New Roman" w:eastAsia="Calibri" w:hAnsi="Times New Roman" w:cs="Times New Roman"/>
          <w:sz w:val="24"/>
          <w:szCs w:val="24"/>
          <w:lang w:val="en-US"/>
        </w:rPr>
        <w:t>. Pilot study is conducted among 10 sub samples to check the feasibility of the study and suitable corrections are made.</w:t>
      </w:r>
    </w:p>
    <w:p w14:paraId="1CD12166"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t>3.3.1 Personal profile of old age</w:t>
      </w:r>
    </w:p>
    <w:p w14:paraId="1DFB0286"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The personal data include age, marital status, occupation, income and type of family. Personal information provide data regarding the respondents which is required to collect perfect data that is essential for good research. </w:t>
      </w:r>
    </w:p>
    <w:p w14:paraId="419C988F"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lastRenderedPageBreak/>
        <w:t>3.3.2 Health Profile of Old Age</w:t>
      </w:r>
    </w:p>
    <w:p w14:paraId="2F958389"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To assess the present and past health status of samples, the questions related to their present and past medical history, health issues during COVID-19 infection and post COVID-19 effects were included.  To assess the lung capacity of the samples, breath holding test (BHT) were used. It is one of the reliable and safe method to check lung capacity (Battaglia.,2017).</w:t>
      </w:r>
    </w:p>
    <w:p w14:paraId="15E3F397"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6504B302"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t>3.3.3 Assessment of nutritional status of old age</w:t>
      </w:r>
    </w:p>
    <w:p w14:paraId="005434B0"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sz w:val="24"/>
          <w:szCs w:val="24"/>
          <w:lang w:val="en-US"/>
        </w:rPr>
        <w:t xml:space="preserve">  </w:t>
      </w:r>
      <w:r w:rsidRPr="00703566">
        <w:rPr>
          <w:rFonts w:ascii="Times New Roman" w:eastAsia="Calibri" w:hAnsi="Times New Roman" w:cs="Times New Roman"/>
          <w:b/>
          <w:sz w:val="24"/>
          <w:szCs w:val="24"/>
          <w:lang w:val="en-US"/>
        </w:rPr>
        <w:tab/>
      </w:r>
      <w:r w:rsidRPr="00703566">
        <w:rPr>
          <w:rFonts w:ascii="Times New Roman" w:eastAsia="Calibri" w:hAnsi="Times New Roman" w:cs="Times New Roman"/>
          <w:sz w:val="24"/>
          <w:szCs w:val="24"/>
          <w:lang w:val="en-US"/>
        </w:rPr>
        <w:t xml:space="preserve">Diet survey is an integral part of nutritional analysis. Diet survey provide information on nutrient intake, food habits, source of nutrients and source of nutrients. The diet survey are conducted through various methods such as MNA tool, 24 hour recall method and food frequency questionnaire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{"citationItems":[{"id":"ITEM-1","itemData":{"DOI":"10.4103/2230-8229.149588","ISSN":"2230-8229","abstract":"BACKGROUND: The percentage of elderly is growing rapidly and malnutrition is not uncommon in the elderly.\\n\\nOBJECTIVES: The present study was carried out to assess the nutritional status of the elderly using the Mini Nutritional Assessment (MNA) tool, and to study the various epidemiological factors influencing their nutritional status.\\n\\nMATERIALS AND METHODS: This cross-sectional study was done from July 2012 to August 2013 in Boko-Bongaon Block, Kamrup District, Assam, India. The elderly, those over 60 years of age, who met the inclusion criteria participated in the study. A total of 30 clusters were selected and 12 elderly from each cluster were taken to achieve the desired sample size of 360. Nutritional status was assessed by the MNA tool and a 24-h dietary recall method.\\n\\nRESULTS: Out of the total of 360 elderly persons, 15% were found to be malnourished and 55% were at risk of malnutrition. The association between nutritional status and older age group, female gender, dependent functional status, dependent financial status and inadequate calorie intake was found to be significant.\\n\\nCONCLUSION: The present findings reveal that malnutrition is not an uncommon problem in the elderly, and further studies are needed in this regard.","author":[{"dropping-particle":"","family":"Agarwalla","given":"Rashmi","non-dropping-particle":"","parse-names":false,"suffix":""},{"dropping-particle":"","family":"Saikia","given":"AnkuMoni","non-dropping-particle":"","parse-names":false,"suffix":""},{"dropping-particle":"","family":"Baruah","given":"Rupali","non-dropping-particle":"","parse-names":false,"suffix":""}],"container-title":"Journal of Family and Community Medicine","id":"ITEM-1","issue":"1","issued":{"date-parts":[["2015"]]},"page":"39","publisher":"Medknow","title":"Assessment of the nutritional status of the elderly and its correlates","type":"article-journal","volume":"22"},"uris":["http://www.mendeley.com/documents/?uuid=b74f655a-ab71-3e96-82c8-25cc2e4806d6"]}],"mendeley":{"formattedCitation":"(Agarwalla et al., 2015)","plainTextFormattedCitation":"(Agarwalla et al., 2015)","previouslyFormattedCitation":"(Agarwalla et al., 2015)"},"properties":{"noteIndex":0},"schema":"https://github.com/citation-style-language/schema/raw/master/csl-citation.json"}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(Agarwalla et al., 2015)</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Remembering consumption from the previous day can be difficult for certain people. Dietary assessment is particularly challenging for some groups of individuals, such as those with impaired cognition and memory (fading memory and reduced attention span)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{"citationItems":[{"id":"ITEM-1","itemData":{"DOI":"10.1016/j.nut.2018.04.016","ISSN":"18731244","PMID":"30195246","abstract":"Objectives: A new, web-based, 24-h recall (R24 W) was developed and programmed to assess adherence to Canadian dietary guidelines by automatically generating the Canadian Healthy Eating Index 2007 (C-HEI 2007). The aim of the present study was to determine the relative validity of the R24 W in terms of its ability to generate C-HEI 2007 scores that match those derived from a food record (FR). Methods: A total of 57 women and 50 men filled a 3-d FR and three 24-h food recalls with the R24 W. C-HEI 2007 was calculated with both dietary assessment tools and compared using de-attenuated correlations and kappa scores. Internal validity (correlations between total score and components) and external validity (comparison of the C-HEI 2007 by sex and age groups) were compared between the two dietary assessment methods. Results: The average C-HEI 2007 score obtained with the R24 W (59.4 ± 11.8) was significantly lower than the one obtained with the FR (62.6 ± 11.1). However, the de-attenuated correlation coefficient between C-HEI 2007 obtained either with R24 W or FR was 0.80 (P &lt; 0.01) and 91.6% of participants were classified in the same or adjacent quartile of C-HEI 2007 with both tools. Women obtained a higher C-HEI 2007 mean score (P &lt; 0.01) with both methods and older adults (age: &gt;51 y) received a higher score than younger adults (age: 18–30 y; P &lt; 0.01) with the R24 W but not with the FR (P = 0.22). Conclusions: Although the R24 W yields lower C-HEI 2007 scores compared with data from FR, the classification of individuals was highly consistent between the two measurements.","author":[{"dropping-particle":"","family":"Lafrenière","given":"Jacynthe","non-dropping-particle":"","parse-names":false,"suffix":""},{"dropping-particle":"","family":"Laramée","given":"Catherine","non-dropping-particle":"","parse-names":false,"suffix":""},{"dropping-particle":"","family":"Robitaille","given":"Julie","non-dropping-particle":"","parse-names":false,"suffix":""},{"dropping-particle":"","family":"Lamarche","given":"Benoît","non-dropping-particle":"","parse-names":false,"suffix":""},{"dropping-particle":"","family":"Lemieux","given":"Simone","non-dropping-particle":"","parse-names":false,"suffix":""}],"container-title":"Nutrition","id":"ITEM-1","issued":{"date-parts":[["2019","1","1"]]},"page":"252-256","publisher":"Elsevier Inc.","title":"Relative validity of a web-based, self-administered, 24-h dietary recall to evaluate adherence to Canadian dietary guidelines","type":"article-journal","volume":"57"},"uris":["http://www.mendeley.com/documents/?uuid=e980d48b-1a21-35bc-8ae3-d3d67dc28e6d"]}],"mendeley":{"formattedCitation":"(Lafrenière et al., 2019)","plainTextFormattedCitation":"(Lafrenière et al., 2019)","previouslyFormattedCitation":"(Lafrenière et al., 2019)"},"properties":{"noteIndex":0},"schema":"https://github.com/citation-style-language/schema/raw/master/csl-citation.json"}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(Lafrenière et al., 2019)</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3975F910" w14:textId="77777777" w:rsidR="00703566" w:rsidRPr="00703566" w:rsidRDefault="00703566" w:rsidP="00703566">
      <w:pPr>
        <w:spacing w:after="200" w:line="480" w:lineRule="auto"/>
        <w:ind w:firstLine="720"/>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The MNA was created in 1991 by researchers from France, Switzerland, and the United States as a "rapid and quick assessment of the elderly at risk of malnutrition in order to promote early nutrition intervention." It's now considered one of the most effective methods for determining nutritional status in the elderly. The MNA (Mini nutritional assessment) is a screening and evaluation tool with a dependable scale and clearly defined thresholds used by health care professionals. MNA tool is widely used to assess nutritional status of geriatric. The MNA score ranging from 12 -14 indicate normal nutritional status, 8 -11 indicates at the risk of malnutrition, 0-7 score indicate malnourished state. The current and past nutritional status of geriatrics are evaluated in this study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{"citationItems":[{"id":"ITEM-1","itemData":{"DOI":"10.1016/j.clnu.2015.07.014","ISSN":"15321983","PMID":"26231340","abstract":"Background &amp; aims Malnutrition is common in hip fracture elderly patients. There is no gold standard for screening nutritional risk. We compared the adequacy of 3 screening tools, their association to nutritional measurements and their ability to predict outcome. Methods The Mini Nutrition Assessment Short Form (MNA-SF), the Malnutrition Universal Screening Tool (MUST) and the Nutrition Risk Screening 2002 (NRS-2002) were prospectively determined. Length of stay (LOS), complications, 6 months readmission and up-to 36 months mortality were recorded. Results 215 operated patients were included: 154 (71.6%) were women; mean age was 83.5 ± 6.09 years (66–104). According to the MNA-SF, 95 patients were well-nourished, 95 were at risk of malnutrition and 25 were malnourished. Based on the MUST, 171 patients were at a low risk of malnutrition, 31 at a medium risk, 13 at a high risk. According to the NRS-2002, 134 patients were at a low risk of malnutrition, 70 at a medium risk, 11 at a high risk. A significant relationship between the nutritional groups of the 3 scores (p &lt; 0.001) was found. In all screening tools, body mass index, weight loss and food intake prior to admission were found to be related to the patients' nutritional status (p &lt; 0.001). No differences in LOS and complications were found between the patients' nutritional status of each screening tool; only the MNA-SF predicted that well-nourished patients would have less readmissions during a 6 month follow-up (p = 0.024). During a 36 month follow-up, 79 patients died. According to the MNA-SF, mortality was lower in the well-nourished patients vs. the malnourished (p = 0.001) and at risk of malnutrition patients (p = 0.01). A less significant association was found between the NRS-2002 patients' nutritional status and mortality (p = 0.048). The MUST did not reveal this relationship. Conclusions All screening tools were adequate in assessing malnutrition parameters in hip fracture operated elderly patients, however, only the MNA-SF could also predict readmissions and mortality.","author":[{"dropping-particle":"","family":"Koren-Hakim","given":"Tamar","non-dropping-particle":"","parse-names":false,"suffix":""},{"dropping-particle":"","family":"Weiss","given":"Avraham","non-dropping-particle":"","parse-names":false,"suffix":""},{"dropping-particle":"","family":"Hershkovitz","given":"Avital","non-dropping-particle":"","parse-names":false,"suffix":""},{"dropping-particle":"","family":"Otzrateni","given":"Irena","non-dropping-particle":"","parse-names":false,"suffix":""},{"dropping-particle":"","family":"Anbar","given":"Ronit","non-dropping-particle":"","parse-names":false,"suffix":""},{"dropping-particle":"","family":"Gross Nevo","given":"Revital Feige","non-dropping-particle":"","parse-names":false,"suffix":""},{"dropping-particle":"","family":"Schlesinger","given":"Agata","non-dropping-particle":"","parse-names":false,"suffix":""},{"dropping-particle":"","family":"Frishman","given":"Sigal","non-dropping-particle":"","parse-names":false,"suffix":""},{"dropping-particle":"","family":"Salai","given":"Moshe","non-dropping-particle":"","parse-names":false,"suffix":""},{"dropping-particle":"","family":"Beloosesky","given":"Yichayaou","non-dropping-particle":"","parse-names":false,"suffix":""}],"container-title":"Clinical Nutrition","id":"ITEM-1","issue":"5","issued":{"date-parts":[["2016","10","1"]]},"page":"1053-1058","publisher":"Churchill Livingstone","title":"Comparing the adequacy of the MNA-SF, NRS-2002 and MUST nutritional tools in assessing malnutrition in hip fracture operated elderly patients","type":"article-journal","volume":"35"},"uris":["http://www.mendeley.com/documents/?uuid=342af47d-e44f-3bd4-975b-43e3dc6ccdd0"]}],"mendeley":{"formattedCitation":"(Koren-Hakim et al., 2016)","plainTextFormattedCitation":"(Koren-Hakim et al., 2016)","previouslyFormattedCitation":"(Koren-Hakim et al., 2016)"},"properties":{"noteIndex":0},"schema":"https://github.com/citation-style-language/schema/raw/master/csl-citation.json"}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(Koren-Hakim et al., 2016)</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7DE0AC55"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sz w:val="24"/>
          <w:szCs w:val="24"/>
          <w:lang w:val="en-US"/>
        </w:rPr>
        <w:lastRenderedPageBreak/>
        <w:t xml:space="preserve">The 24- hour recall method is used in nutritional surveys to collect dietary intake of samples. A 24 -hour nutritional recall is structured interview that provide information about all meals consumed by samples in past 24 hours. It also provide information about portion size of each food, beverages, and food supplements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{"citationItems":[{"id":"ITEM-1","itemData":{"DOI":"10.2196/13266","ISSN":"14388871","PMID":"32012055","abstract":"Background: Under-reporting because of the limitations of human memory is one of the key challenges in dietary assessment surveys that use the multiple-pass 24-hour recall. Research indicates that shortening a retention interval (ie, the time between the eating event and recall) reduces the burden on memory and may increase the accuracy of the assessment. Objective: This study aimed to explore the accuracy and acceptability of Web-based dietary assessment surveys based on a progressive recall, where a respondent is asked to record multiple recalls throughout a 24-hour period using the multiple-pass protocol and portion size estimation methods of the 24-hour recall. Methods: The experiment was conducted with a dietary assessment system, Intake24, that typically implements the multiple-pass 24-hour recall method where respondents record all meals they had for the previous day on a single occasion. We modified the system to allow respondents to add multiple recalls throughout the day using the multiple-pass protocol and portion size estimation methods of the 24-hour recall (progressive recall). We conducted a dietary assessment survey with 33 participants, where they were asked to record dietary intake using both 24-hour and progressive recall methods for weekdays only. We compared mean retention intervals (ie, the time between eating event and recall) for the 2 methods. To examine accuracy, we compared mean energy estimates and the mean number of reported foods. Of these participants, 23 were interviewed to examine the acceptability of the progressive recall. Results: Retention intervals were found to be, on average, 15.2 hours (SD 7.8) shorter during progressive recalls than those during 24-hour recalls. We found that the mean number of foods reported for evening meals for progressive recalls (5.2 foods) was significantly higher (P=.001) than that for 24-hour recalls (4.2 foods). The number of foods and the amount of energy reported for other meals remained similar across the 2 methods. In interviews, 65% (15/23) of participants said that the 24-hour recall is more convenient in terms of fitting in with their daily lifestyles, and 65% (15/23) of respondents indicated that they remembered meal content and portion sizes better with the progressive recall. Conclusions: The analysis of interviews and data from our study indicate that progressive recalls provide minor improvements to the accuracy of dietary assessment in Intake24. Additional work is needed to…","author":[{"dropping-particle":"","family":"Osadchiy","given":"Timur","non-dropping-particle":"","parse-names":false,"suffix":""},{"dropping-particle":"","family":"Poliakov","given":"Ivan","non-dropping-particle":"","parse-names":false,"suffix":""},{"dropping-particle":"","family":"Olivier","given":"Patrick","non-dropping-particle":"","parse-names":false,"suffix":""},{"dropping-particle":"","family":"Rowland","given":"Maisie","non-dropping-particle":"","parse-names":false,"suffix":""},{"dropping-particle":"","family":"Foster","given":"Emma","non-dropping-particle":"","parse-names":false,"suffix":""}],"container-title":"Journal of Medical Internet Research","id":"ITEM-1","issue":"2","issued":{"date-parts":[["2020","2","1"]]},"page":"e13266","publisher":"JMIR Publications Inc.","title":"Progressive 24-hour recall: Usability study of short retention intervals in web-based dietary assessment surveys","type":"article-journal","volume":"22"},"uris":["http://www.mendeley.com/documents/?uuid=408b027b-c350-3774-a4f6-f3f6d3eaa1b1"]}],"mendeley":{"formattedCitation":"(Osadchiy et al., 2020)","plainTextFormattedCitation":"(Osadchiy et al., 2020)","previouslyFormattedCitation":"(Osadchiy et al., 2020)"},"properties":{"noteIndex":0},"schema":"https://github.com/citation-style-language/schema/raw/master/csl-citation.json"}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(Osadchiy et al., 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2F403915"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Food frequency questionnaire are attractive dietary assessment tool for rapid estimation of dietary intake over a long period of time. In this study, food frequency questionnaire is used to collect information on how specific category of food eaten. The basic food groups on food practices were listed in the questionnaire, in which samples were asked to mark their frequency of consumption of food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{"citationItems":[{"id":"ITEM-1","itemData":{"DOI":"10.1017/jns.2017.12","ISSN":"20486790","abstract":"A child's diet is an important determinant of growth and development. Because of this, the accurate assessment of dietary intake in young children remains a challenge. A systematic search of studies validating FFQ methodologies in children 12 to 36 months of age was completed. English-language articles published until March 2016 were searched using three electronic databases (MEDLINE, EMBASE and CINAHL). Quality assessment of the identified studies was carried out using The Reduced Summary Score and EURopean micronutrient RECommendations Aligned (EURRECA) scoring system. Seventeen studies were included and categorised according to whether they reflected long-Term (≥7 d) or short-Term (&lt;7 d) intake, or used a biomarker. A total score for each micronutrient was calculated from the mean of the correlation coefficients weighted by the study quality score. At least three validation studies per micronutrient were required for inclusion. Fifteen studies (83 %) that considered validity of the FFQ in assessing nutrient intakes had quality scores from 2·5 to 6·0. Of those, ten (67 %) studies found FFQ to have good correlations in assessing dietary intake (&gt;0·4). Of the nutrients with three or more studies available, FFQ validated using a reference method reflecting short-Term intake had a good weighted correlation for Ca (0·51), and acceptable weighted correlations for Vitamin C (0·31) and Fe (0·33). Semi-quantitative FFQ were shown to be valid and reproducible when estimating dietary intakes at a group level, and are an acceptable instruments for estimating intakes of Ca, Vitamin C and Fe in children 12 to 36 months of age.","author":[{"dropping-particle":"","family":"Lovell","given":"Amy","non-dropping-particle":"","parse-names":false,"suffix":""},{"dropping-particle":"","family":"Bulloch","given":"Rhodi","non-dropping-particle":"","parse-names":false,"suffix":""},{"dropping-particle":"","family":"Wall","given":"Clare R.","non-dropping-particle":"","parse-names":false,"suffix":""},{"dropping-particle":"","family":"Grant","given":"Cameron C.","non-dropping-particle":"","parse-names":false,"suffix":""}],"container-title":"Journal of Nutritional Science","id":"ITEM-1","issued":{"date-parts":[["2017","5","8"]]},"page":"1-12","publisher":"Cambridge University Press","title":"Quality of food-frequency questionnaire validation studies in the dietary assessment of children aged 12 to 36 months: A systematic literature review","type":"article","volume":"6"},"uris":["http://www.mendeley.com/documents/?uuid=9bb94369-1be6-37da-907b-1d022979771a"]}],"mendeley":{"formattedCitation":"(Lovell et al., 2017)","plainTextFormattedCitation":"(Lovell et al., 2017)","previouslyFormattedCitation":"(Lovell et al., 2017)"},"properties":{"noteIndex":0},"schema":"https://github.com/citation-style-language/schema/raw/master/csl-citation.json"}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(Lovell et al., 2017)</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4DDAAC60"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The</w:t>
      </w:r>
      <w:r w:rsidRPr="00703566">
        <w:rPr>
          <w:rFonts w:ascii="Times New Roman" w:eastAsia="Calibri" w:hAnsi="Times New Roman" w:cs="Times New Roman"/>
          <w:sz w:val="24"/>
          <w:szCs w:val="24"/>
        </w:rPr>
        <w:t xml:space="preserve"> Council on Nutrition Appetite Questionnaire</w:t>
      </w:r>
      <w:proofErr w:type="gramStart"/>
      <w:r w:rsidRPr="00703566">
        <w:rPr>
          <w:rFonts w:ascii="Times New Roman" w:eastAsia="Calibri" w:hAnsi="Times New Roman" w:cs="Times New Roman"/>
          <w:sz w:val="24"/>
          <w:szCs w:val="24"/>
          <w:lang w:val="en-US"/>
        </w:rPr>
        <w:t xml:space="preserve">   (</w:t>
      </w:r>
      <w:proofErr w:type="gramEnd"/>
      <w:r w:rsidRPr="00703566">
        <w:rPr>
          <w:rFonts w:ascii="Times New Roman" w:eastAsia="Calibri" w:hAnsi="Times New Roman" w:cs="Times New Roman"/>
          <w:sz w:val="24"/>
          <w:szCs w:val="24"/>
          <w:lang w:val="en-US"/>
        </w:rPr>
        <w:t>CNAQ) is a questionnaire of 8 items that was found to be valid in predicting clinically important weight loss for older adults in older living in the group and long-term in treatment. Each object is scored with a potential total score ranging from 8 (worst) to 40 on a 5-point scale (best). A score of 28 suggests a high risk of at least 5% weight loss within 6 months and was rated as at risk of malnutrition by these participants. The</w:t>
      </w:r>
      <w:r w:rsidRPr="00703566">
        <w:rPr>
          <w:rFonts w:ascii="Times New Roman" w:eastAsia="Calibri" w:hAnsi="Times New Roman" w:cs="Times New Roman"/>
          <w:sz w:val="24"/>
          <w:szCs w:val="24"/>
        </w:rPr>
        <w:t xml:space="preserve"> Simplified Nutritional Appetite Questionnaire </w:t>
      </w:r>
      <w:r w:rsidRPr="00703566">
        <w:rPr>
          <w:rFonts w:ascii="Times New Roman" w:eastAsia="Calibri" w:hAnsi="Times New Roman" w:cs="Times New Roman"/>
          <w:sz w:val="24"/>
          <w:szCs w:val="24"/>
          <w:lang w:val="en-US"/>
        </w:rPr>
        <w:t>(SNAQ)</w:t>
      </w:r>
      <w:r w:rsidRPr="00703566">
        <w:rPr>
          <w:rFonts w:ascii="Times New Roman" w:eastAsia="Calibri" w:hAnsi="Times New Roman" w:cs="Times New Roman"/>
          <w:b/>
          <w:bCs/>
          <w:sz w:val="24"/>
          <w:szCs w:val="24"/>
          <w:lang w:val="en-US"/>
        </w:rPr>
        <w:t xml:space="preserve"> </w:t>
      </w:r>
      <w:r w:rsidRPr="00703566">
        <w:rPr>
          <w:rFonts w:ascii="Times New Roman" w:eastAsia="Calibri" w:hAnsi="Times New Roman" w:cs="Times New Roman"/>
          <w:sz w:val="24"/>
          <w:szCs w:val="24"/>
          <w:lang w:val="en-US"/>
        </w:rPr>
        <w:t xml:space="preserve">is a 4-item CNAQ derivative found to be equally valid. With a comparable scoring rubric, but fewer items are feasible, the cumulative score for the SNAQ ranges from 4 to 20 (worst) (best). Scores 14 display a high chance of weight loss of at least 5%. </w:t>
      </w:r>
    </w:p>
    <w:p w14:paraId="5913BF3B"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t>3.3.4 Anthropometric Measurements</w:t>
      </w:r>
    </w:p>
    <w:p w14:paraId="659C2AE6"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 xml:space="preserve">Anthropometric measurements are the chain of quantitative measurements of muscle, bone, and adipose tissue used to evaluate the composition of the body. The elements of anthropometric measurements are height, weight, body mass index, body circumference. These measurements are important to diagnose obesity, and other health care problems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{"citationItems":[{"id":"ITEM-1","itemData":{"DOI":"10.1155/2017/8703503","ISSN":"1687-7063","abstract":"&lt;p&gt; &lt;italic&gt;Purpose&lt;/italic&gt; . Anthropometry is a useful tool for assessing some risk factors for frailty. Thus, the aim of this study was to verify the discriminatory performance of anthropometric measures in identifying frailty in the elderly and to create an easy-to-use tool. &lt;italic&gt;Methods&lt;/italic&gt; . Cross-sectional study: a subset from the Multidimensional Study of the Elderly in the Family Health Strategy (EMI-SUS) evaluating 538 older adults. Individuals were classified using the Fried Phenotype criteria, and 26 anthropometric measures were obtained. The predictive ability of anthropometric measures in identifying frailty was identified through logistic regression and an artificial neural network. The accuracy of the final models was assessed with an ROC curve. &lt;italic&gt;Results&lt;/italic&gt; . The final model comprised the following predictors: weight, waist circumference, bicipital skinfold, sagittal abdominal diameter, and age. The final neural network models presented a higher ROC curve of 0.78 (CI 95% 0.74–0.82) ( &lt;math id=\"M1\"&gt; &lt;mi&gt;P&lt;/mi&gt; &lt;mo&gt;&amp;lt;&lt;/mo&gt; &lt;mn fontstyle=\"italic\"&gt;0.001&lt;/mn&gt; &lt;/math&gt; ) than the logistic regression model, with an ROC curve of 0.71 (CI 95% 0.66–0.77) ( &lt;math id=\"M2\"&gt; &lt;mi&gt;P&lt;/mi&gt; &lt;mo&gt;&amp;lt;&lt;/mo&gt; &lt;mn fontstyle=\"italic\"&gt;0.001&lt;/mn&gt; &lt;/math&gt; ). &lt;italic&gt;Conclusion&lt;/italic&gt; . The neural network model provides a reliable tool for identifying prefrailty/frailty in the elderly, with the advantage of being easy to apply in the primary health care. It may help to provide timely interventions to ameliorate the risk of adverse events. &lt;/p&gt;","author":[{"dropping-particle":"","family":"Closs","given":"Vera Elizabeth","non-dropping-particle":"","parse-names":false,"suffix":""},{"dropping-particle":"","family":"Ziegelmann","given":"Patricia Klarmann","non-dropping-particle":"","parse-names":false,"suffix":""},{"dropping-particle":"","family":"Flores","given":"João Henrique Ferreira","non-dropping-particle":"","parse-names":false,"suffix":""},{"dropping-particle":"","family":"Gomes","given":"Irenio","non-dropping-particle":"","parse-names":false,"suffix":""},{"dropping-particle":"","family":"Schwanke","given":"Carla Helena Augustin","non-dropping-particle":"","parse-names":false,"suffix":""}],"container-title":"Current Gerontology and Geriatrics Research","id":"ITEM-1","issued":{"date-parts":[["2017"]]},"page":"1-8","publisher":"Hindawi Limited","title":"Anthropometric Measures and Frailty Prediction in the Elderly: An Easy-to-Use Tool","type":"article-journal","volume":"2017"},"uris":["http://www.mendeley.com/documents/?uuid=b0f23f2e-a79a-38cb-b046-0da4a6614f7e"]}],"mendeley":{"formattedCitation":"(Closs et al., 2017)","plainTextFormattedCitation":"(Closs et al., 2017)","previouslyFormattedCitation":"(Closs et al., 2017)"},"properties":{"noteIndex":0},"schema":"https://github.com/citation-style-language/schema/raw/master/csl-citation.json"}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(Closs et al., 2017)</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3326AC0C"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lastRenderedPageBreak/>
        <w:t>3.3.4.1 Height</w:t>
      </w:r>
    </w:p>
    <w:p w14:paraId="6DA310D0"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According to UNICEF (1997) height is an indicator used to assess nutritional status of individual. The equipment used for measure height is stadiometer. The standing height can measure without wearing of shoes. </w:t>
      </w:r>
    </w:p>
    <w:p w14:paraId="23C8EE34"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t xml:space="preserve">3.3.4.2 Body Weight </w:t>
      </w:r>
    </w:p>
    <w:p w14:paraId="6E67176E"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Body weight is the easiest method to assess the nutritional status of the individual. Body weight indicates body mass. Body weight comprises of all body constitutes like water, bone, muscle mass, mineral fat protein .etc. weighing machine is the equipment used measure body weight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{"citationItems":[{"id":"ITEM-1","itemData":{"DOI":"10.1155/2015/404261","ISSN":"23146141","PMID":"26413519","abstract":"Morphometry is introduced as quantitative approach to seek information concerning variations and changes in the forms of organisms that described the relationship between the human body and disease. Scientists of all civilization, who existed until today, examined the human body using anthropometric methods. For these reasons, anthropometric data are used in many contexts to screen for or monitor disease. Anthropometry, a branch of morphometry, is the study of the size and shape of the components of biological forms and their variations in populations. Morphometrics can also be defined as the quantitative analysis of biological forms. The field has developed rapidly over the last two decades to the extent that we now distinguish between traditional morphometrics and the more recent geometric morphometrics. Advances in imaging technology have resulted in the protection of a greater amount of morphological information and have permitted the analysis of this information. The oldest and most commonly used of these methods is radiography. With developments in this area, CT and MRI have also been started to be used in screening of the internal organs. Morphometric measurements that are used in medicine, are widely used in the diagnosis and the follow-up and the treatment of the disease, today. In addition, in cosmetology use of these new measurements is increasing every day.","author":[{"dropping-particle":"","family":"Utkualp","given":"Nevin","non-dropping-particle":"","parse-names":false,"suffix":""},{"dropping-particle":"","family":"Ercan","given":"Ilker","non-dropping-particle":"","parse-names":false,"suffix":""}],"container-title":"BioMed Research International","id":"ITEM-1","issued":{"date-parts":[["2015"]]},"publisher":"Hindawi Publishing Corporation","title":"Anthropometric measurements usage in medical sciences","type":"article","volume":"2015"},"uris":["http://www.mendeley.com/documents/?uuid=92e84c3d-c7fe-3b4c-8d5f-0103536064a7"]}],"mendeley":{"formattedCitation":"(Utkualp &amp; Ercan, 2015)","plainTextFormattedCitation":"(Utkualp &amp; Ercan, 2015)","previouslyFormattedCitation":"(Utkualp &amp; Ercan, 2015)"},"properties":{"noteIndex":0},"schema":"https://github.com/citation-style-language/schema/raw/master/csl-citation.json"}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(Utkualp &amp; Ercan, 2015)</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as shown in </w:t>
      </w:r>
      <w:r w:rsidRPr="00703566">
        <w:rPr>
          <w:rFonts w:ascii="Times New Roman" w:eastAsia="Calibri" w:hAnsi="Times New Roman" w:cs="Times New Roman"/>
          <w:b/>
          <w:bCs/>
          <w:sz w:val="24"/>
          <w:szCs w:val="24"/>
          <w:lang w:val="en-US"/>
        </w:rPr>
        <w:t>Plate 1</w:t>
      </w:r>
      <w:r w:rsidRPr="00703566">
        <w:rPr>
          <w:rFonts w:ascii="Times New Roman" w:eastAsia="Calibri" w:hAnsi="Times New Roman" w:cs="Times New Roman"/>
          <w:sz w:val="24"/>
          <w:szCs w:val="24"/>
          <w:lang w:val="en-US"/>
        </w:rPr>
        <w:t>.</w:t>
      </w:r>
    </w:p>
    <w:p w14:paraId="03FACF4D"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t>3.3.4.3 Body Mass Index</w:t>
      </w:r>
    </w:p>
    <w:p w14:paraId="47EF65A9"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BMI is an approach to quantify the quantity of tissue mass in an individual. The BMI is universally represented in Kg/m</w:t>
      </w:r>
      <w:r w:rsidRPr="00703566">
        <w:rPr>
          <w:rFonts w:ascii="Times New Roman" w:eastAsia="Calibri" w:hAnsi="Times New Roman" w:cs="Times New Roman"/>
          <w:sz w:val="24"/>
          <w:szCs w:val="24"/>
          <w:vertAlign w:val="superscript"/>
          <w:lang w:val="en-US"/>
        </w:rPr>
        <w:t>2</w:t>
      </w:r>
      <w:r w:rsidRPr="00703566">
        <w:rPr>
          <w:rFonts w:ascii="Times New Roman" w:eastAsia="Calibri" w:hAnsi="Times New Roman" w:cs="Times New Roman"/>
          <w:sz w:val="24"/>
          <w:szCs w:val="24"/>
          <w:lang w:val="en-US"/>
        </w:rPr>
        <w:t xml:space="preserve">. It is a tool for indicating weight status of an individual. Body mass index (BMI) is an estimate of body composition that correlates an individual’s weight and height to lean body mass. There are no </w:t>
      </w:r>
      <w:proofErr w:type="spellStart"/>
      <w:proofErr w:type="gramStart"/>
      <w:r w:rsidRPr="00703566">
        <w:rPr>
          <w:rFonts w:ascii="Times New Roman" w:eastAsia="Calibri" w:hAnsi="Times New Roman" w:cs="Times New Roman"/>
          <w:sz w:val="24"/>
          <w:szCs w:val="24"/>
          <w:lang w:val="en-US"/>
        </w:rPr>
        <w:t>well defined</w:t>
      </w:r>
      <w:proofErr w:type="spellEnd"/>
      <w:proofErr w:type="gramEnd"/>
      <w:r w:rsidRPr="00703566">
        <w:rPr>
          <w:rFonts w:ascii="Times New Roman" w:eastAsia="Calibri" w:hAnsi="Times New Roman" w:cs="Times New Roman"/>
          <w:sz w:val="24"/>
          <w:szCs w:val="24"/>
          <w:lang w:val="en-US"/>
        </w:rPr>
        <w:t xml:space="preserve"> criteria or cut off values that relate to specific risks or aspects of health among individuals. Weight/height relationship changes dramatically with age during adolescence. </w:t>
      </w:r>
      <w:proofErr w:type="gramStart"/>
      <w:r w:rsidRPr="00703566">
        <w:rPr>
          <w:rFonts w:ascii="Times New Roman" w:eastAsia="Calibri" w:hAnsi="Times New Roman" w:cs="Times New Roman"/>
          <w:sz w:val="24"/>
          <w:szCs w:val="24"/>
          <w:lang w:val="en-US"/>
        </w:rPr>
        <w:t>Consequently</w:t>
      </w:r>
      <w:proofErr w:type="gramEnd"/>
      <w:r w:rsidRPr="00703566">
        <w:rPr>
          <w:rFonts w:ascii="Times New Roman" w:eastAsia="Calibri" w:hAnsi="Times New Roman" w:cs="Times New Roman"/>
          <w:sz w:val="24"/>
          <w:szCs w:val="24"/>
          <w:lang w:val="en-US"/>
        </w:rPr>
        <w:t xml:space="preserve"> at a given height, the weight corresponding to a particular percentile is not the same for all ages, so that the meaning of weight for height percentile differs with age. Because of these limitations Body Mass Index (BMI) for age and gender-specific centile was used in this study (Cole., 2000).</w:t>
      </w:r>
    </w:p>
    <w:p w14:paraId="461BD012"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The body mass index (BMI) is defined as weight in kilograms (Kg) divided by the height in meter square (m²), is the best method of assessing nutritional status (Sreelakshmi,2012).</w:t>
      </w:r>
    </w:p>
    <w:p w14:paraId="340A2DEA" w14:textId="77777777" w:rsidR="00703566" w:rsidRPr="00703566" w:rsidRDefault="00703566" w:rsidP="00703566">
      <w:pPr>
        <w:spacing w:after="200" w:line="480" w:lineRule="auto"/>
        <w:ind w:left="567" w:hanging="567"/>
        <w:jc w:val="both"/>
        <w:rPr>
          <w:rFonts w:ascii="Times New Roman" w:eastAsia="Calibri" w:hAnsi="Times New Roman" w:cs="Times New Roman"/>
          <w:sz w:val="24"/>
          <w:szCs w:val="24"/>
          <w:lang w:val="en-US"/>
        </w:rPr>
      </w:pPr>
    </w:p>
    <w:p w14:paraId="059028A7"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noProof/>
          <w:sz w:val="24"/>
          <w:szCs w:val="24"/>
          <w:lang w:val="en-US"/>
        </w:rPr>
        <w:lastRenderedPageBreak/>
        <mc:AlternateContent>
          <mc:Choice Requires="wps">
            <w:drawing>
              <wp:anchor distT="0" distB="0" distL="114300" distR="114300" simplePos="0" relativeHeight="251660288" behindDoc="0" locked="0" layoutInCell="1" allowOverlap="1" wp14:anchorId="59FAA4FC" wp14:editId="7F984922">
                <wp:simplePos x="0" y="0"/>
                <wp:positionH relativeFrom="column">
                  <wp:posOffset>0</wp:posOffset>
                </wp:positionH>
                <wp:positionV relativeFrom="paragraph">
                  <wp:posOffset>0</wp:posOffset>
                </wp:positionV>
                <wp:extent cx="635000" cy="635000"/>
                <wp:effectExtent l="9525" t="9525" r="12700" b="12700"/>
                <wp:wrapNone/>
                <wp:docPr id="4" name="Auto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FB95B1C" id="_x0000_t32" coordsize="21600,21600" o:spt="32" o:oned="t" path="m,l21600,21600e" filled="f">
                <v:path arrowok="t" fillok="f" o:connecttype="none"/>
                <o:lock v:ext="edit" shapetype="t"/>
              </v:shapetype>
              <v:shape id="AutoShape 4" o:spid="_x0000_s1026" type="#_x0000_t3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">
                <o:lock v:ext="edit" selection="t"/>
              </v:shape>
            </w:pict>
          </mc:Fallback>
        </mc:AlternateContent>
      </w:r>
      <w:r w:rsidRPr="00703566">
        <w:rPr>
          <w:rFonts w:ascii="Times New Roman" w:eastAsia="Calibri" w:hAnsi="Times New Roman" w:cs="Times New Roman"/>
          <w:noProof/>
          <w:sz w:val="24"/>
          <w:szCs w:val="24"/>
          <w:lang w:val="en-US"/>
        </w:rPr>
        <mc:AlternateContent>
          <mc:Choice Requires="wps">
            <w:drawing>
              <wp:anchor distT="0" distB="0" distL="0" distR="0" simplePos="0" relativeHeight="251661312" behindDoc="0" locked="0" layoutInCell="1" allowOverlap="1" wp14:anchorId="103AABA5" wp14:editId="35D78A05">
                <wp:simplePos x="0" y="0"/>
                <wp:positionH relativeFrom="column">
                  <wp:posOffset>1654175</wp:posOffset>
                </wp:positionH>
                <wp:positionV relativeFrom="paragraph">
                  <wp:posOffset>252730</wp:posOffset>
                </wp:positionV>
                <wp:extent cx="805180" cy="0"/>
                <wp:effectExtent l="6350" t="5080" r="7620" b="13970"/>
                <wp:wrapNone/>
                <wp:docPr id="6"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695B5" id="1034" o:spid="_x0000_s1026" type="#_x0000_t32" style="position:absolute;margin-left:130.25pt;margin-top:19.9pt;width:63.4pt;height:0;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"/>
            </w:pict>
          </mc:Fallback>
        </mc:AlternateContent>
      </w:r>
      <w:r w:rsidRPr="00703566">
        <w:rPr>
          <w:rFonts w:ascii="Times New Roman" w:eastAsia="Calibri" w:hAnsi="Times New Roman" w:cs="Times New Roman"/>
          <w:sz w:val="24"/>
          <w:szCs w:val="24"/>
          <w:lang w:val="en-US"/>
        </w:rPr>
        <w:t xml:space="preserve">                             BMI = Weight (kg)</w:t>
      </w:r>
    </w:p>
    <w:p w14:paraId="06743C74"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Height (m²)</w:t>
      </w:r>
    </w:p>
    <w:p w14:paraId="343FE0F1" w14:textId="77777777" w:rsidR="00703566" w:rsidRPr="00703566" w:rsidRDefault="00703566" w:rsidP="00703566">
      <w:pPr>
        <w:spacing w:after="200" w:line="480" w:lineRule="auto"/>
        <w:ind w:left="2160" w:firstLine="720"/>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Table 1</w:t>
      </w:r>
    </w:p>
    <w:p w14:paraId="11A55D3D" w14:textId="77777777" w:rsidR="00703566" w:rsidRPr="00703566" w:rsidRDefault="00703566" w:rsidP="00703566">
      <w:pPr>
        <w:spacing w:after="200"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Classification of Body Mass Index</w:t>
      </w:r>
    </w:p>
    <w:tbl>
      <w:tblPr>
        <w:tblStyle w:val="TableGrid1"/>
        <w:tblW w:w="0" w:type="auto"/>
        <w:jc w:val="center"/>
        <w:tblLook w:val="04A0" w:firstRow="1" w:lastRow="0" w:firstColumn="1" w:lastColumn="0" w:noHBand="0" w:noVBand="1"/>
      </w:tblPr>
      <w:tblGrid>
        <w:gridCol w:w="3161"/>
        <w:gridCol w:w="3174"/>
      </w:tblGrid>
      <w:tr w:rsidR="00703566" w:rsidRPr="00703566" w14:paraId="135A805F" w14:textId="77777777" w:rsidTr="008A6F48">
        <w:trPr>
          <w:trHeight w:val="635"/>
          <w:jc w:val="center"/>
        </w:trPr>
        <w:tc>
          <w:tcPr>
            <w:tcW w:w="3161" w:type="dxa"/>
          </w:tcPr>
          <w:p w14:paraId="0FF69EEA"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BMI</w:t>
            </w:r>
          </w:p>
        </w:tc>
        <w:tc>
          <w:tcPr>
            <w:tcW w:w="3174" w:type="dxa"/>
          </w:tcPr>
          <w:p w14:paraId="033B41DD"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Category</w:t>
            </w:r>
          </w:p>
        </w:tc>
      </w:tr>
      <w:tr w:rsidR="00703566" w:rsidRPr="00703566" w14:paraId="56B2D55B" w14:textId="77777777" w:rsidTr="008A6F48">
        <w:trPr>
          <w:trHeight w:val="654"/>
          <w:jc w:val="center"/>
        </w:trPr>
        <w:tc>
          <w:tcPr>
            <w:tcW w:w="3161" w:type="dxa"/>
          </w:tcPr>
          <w:p w14:paraId="11FB8220" w14:textId="77777777" w:rsidR="00703566" w:rsidRPr="00703566" w:rsidRDefault="00703566" w:rsidP="00703566">
            <w:pPr>
              <w:spacing w:line="360" w:lineRule="auto"/>
              <w:jc w:val="both"/>
              <w:rPr>
                <w:rFonts w:ascii="Times New Roman" w:eastAsia="Calibri" w:hAnsi="Times New Roman" w:cs="Times New Roman"/>
                <w:sz w:val="24"/>
                <w:szCs w:val="24"/>
                <w:vertAlign w:val="superscript"/>
              </w:rPr>
            </w:pPr>
            <w:r w:rsidRPr="00703566">
              <w:rPr>
                <w:rFonts w:ascii="Times New Roman" w:eastAsia="Calibri" w:hAnsi="Times New Roman" w:cs="Times New Roman"/>
                <w:sz w:val="24"/>
                <w:szCs w:val="24"/>
              </w:rPr>
              <w:t>&lt;18.5 Kg/m</w:t>
            </w:r>
            <w:r w:rsidRPr="00703566">
              <w:rPr>
                <w:rFonts w:ascii="Times New Roman" w:eastAsia="Calibri" w:hAnsi="Times New Roman" w:cs="Times New Roman"/>
                <w:sz w:val="24"/>
                <w:szCs w:val="24"/>
                <w:vertAlign w:val="superscript"/>
              </w:rPr>
              <w:t>2</w:t>
            </w:r>
          </w:p>
        </w:tc>
        <w:tc>
          <w:tcPr>
            <w:tcW w:w="3174" w:type="dxa"/>
          </w:tcPr>
          <w:p w14:paraId="78BBC649"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Underweight</w:t>
            </w:r>
          </w:p>
        </w:tc>
      </w:tr>
      <w:tr w:rsidR="00703566" w:rsidRPr="00703566" w14:paraId="4470C7A6" w14:textId="77777777" w:rsidTr="008A6F48">
        <w:trPr>
          <w:trHeight w:val="635"/>
          <w:jc w:val="center"/>
        </w:trPr>
        <w:tc>
          <w:tcPr>
            <w:tcW w:w="3161" w:type="dxa"/>
          </w:tcPr>
          <w:p w14:paraId="25AFE132" w14:textId="77777777" w:rsidR="00703566" w:rsidRPr="00703566" w:rsidRDefault="00703566" w:rsidP="00703566">
            <w:pPr>
              <w:spacing w:line="360" w:lineRule="auto"/>
              <w:jc w:val="both"/>
              <w:rPr>
                <w:rFonts w:ascii="Times New Roman" w:eastAsia="Calibri" w:hAnsi="Times New Roman" w:cs="Times New Roman"/>
                <w:sz w:val="24"/>
                <w:szCs w:val="24"/>
                <w:vertAlign w:val="superscript"/>
              </w:rPr>
            </w:pPr>
            <w:r w:rsidRPr="00703566">
              <w:rPr>
                <w:rFonts w:ascii="Times New Roman" w:eastAsia="Calibri" w:hAnsi="Times New Roman" w:cs="Times New Roman"/>
                <w:sz w:val="24"/>
                <w:szCs w:val="24"/>
              </w:rPr>
              <w:t>18.5 – 22.9 kg/m</w:t>
            </w:r>
            <w:r w:rsidRPr="00703566">
              <w:rPr>
                <w:rFonts w:ascii="Times New Roman" w:eastAsia="Calibri" w:hAnsi="Times New Roman" w:cs="Times New Roman"/>
                <w:sz w:val="24"/>
                <w:szCs w:val="24"/>
                <w:vertAlign w:val="superscript"/>
              </w:rPr>
              <w:t>2</w:t>
            </w:r>
          </w:p>
        </w:tc>
        <w:tc>
          <w:tcPr>
            <w:tcW w:w="3174" w:type="dxa"/>
          </w:tcPr>
          <w:p w14:paraId="675F0C89"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Normal </w:t>
            </w:r>
          </w:p>
        </w:tc>
      </w:tr>
      <w:tr w:rsidR="00703566" w:rsidRPr="00703566" w14:paraId="1208CAD2" w14:textId="77777777" w:rsidTr="008A6F48">
        <w:trPr>
          <w:trHeight w:val="635"/>
          <w:jc w:val="center"/>
        </w:trPr>
        <w:tc>
          <w:tcPr>
            <w:tcW w:w="3161" w:type="dxa"/>
          </w:tcPr>
          <w:p w14:paraId="35A80A04" w14:textId="77777777" w:rsidR="00703566" w:rsidRPr="00703566" w:rsidRDefault="00703566" w:rsidP="00703566">
            <w:pPr>
              <w:spacing w:line="360" w:lineRule="auto"/>
              <w:jc w:val="both"/>
              <w:rPr>
                <w:rFonts w:ascii="Times New Roman" w:eastAsia="Calibri" w:hAnsi="Times New Roman" w:cs="Times New Roman"/>
                <w:sz w:val="24"/>
                <w:szCs w:val="24"/>
                <w:vertAlign w:val="superscript"/>
              </w:rPr>
            </w:pPr>
            <w:r w:rsidRPr="00703566">
              <w:rPr>
                <w:rFonts w:ascii="Times New Roman" w:eastAsia="Calibri" w:hAnsi="Times New Roman" w:cs="Times New Roman"/>
                <w:sz w:val="24"/>
                <w:szCs w:val="24"/>
              </w:rPr>
              <w:t xml:space="preserve"> 23 – 24.9 kg/m</w:t>
            </w:r>
            <w:r w:rsidRPr="00703566">
              <w:rPr>
                <w:rFonts w:ascii="Times New Roman" w:eastAsia="Calibri" w:hAnsi="Times New Roman" w:cs="Times New Roman"/>
                <w:sz w:val="24"/>
                <w:szCs w:val="24"/>
                <w:vertAlign w:val="superscript"/>
              </w:rPr>
              <w:t>2</w:t>
            </w:r>
          </w:p>
        </w:tc>
        <w:tc>
          <w:tcPr>
            <w:tcW w:w="3174" w:type="dxa"/>
          </w:tcPr>
          <w:p w14:paraId="0A9505B6"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Overweight </w:t>
            </w:r>
          </w:p>
        </w:tc>
      </w:tr>
      <w:tr w:rsidR="00703566" w:rsidRPr="00703566" w14:paraId="33CCE12E" w14:textId="77777777" w:rsidTr="008A6F48">
        <w:trPr>
          <w:trHeight w:val="635"/>
          <w:jc w:val="center"/>
        </w:trPr>
        <w:tc>
          <w:tcPr>
            <w:tcW w:w="3161" w:type="dxa"/>
          </w:tcPr>
          <w:p w14:paraId="76599A80" w14:textId="77777777" w:rsidR="00703566" w:rsidRPr="00703566" w:rsidRDefault="00703566" w:rsidP="00703566">
            <w:pPr>
              <w:spacing w:line="360" w:lineRule="auto"/>
              <w:jc w:val="both"/>
              <w:rPr>
                <w:rFonts w:ascii="Times New Roman" w:eastAsia="Calibri" w:hAnsi="Times New Roman" w:cs="Times New Roman"/>
                <w:sz w:val="24"/>
                <w:szCs w:val="24"/>
                <w:vertAlign w:val="superscript"/>
              </w:rPr>
            </w:pPr>
            <w:r w:rsidRPr="00703566">
              <w:rPr>
                <w:rFonts w:ascii="Times New Roman" w:eastAsia="Calibri" w:hAnsi="Times New Roman" w:cs="Times New Roman"/>
                <w:sz w:val="24"/>
                <w:szCs w:val="24"/>
              </w:rPr>
              <w:t>&gt;25 kg/m</w:t>
            </w:r>
            <w:r w:rsidRPr="00703566">
              <w:rPr>
                <w:rFonts w:ascii="Times New Roman" w:eastAsia="Calibri" w:hAnsi="Times New Roman" w:cs="Times New Roman"/>
                <w:sz w:val="24"/>
                <w:szCs w:val="24"/>
                <w:vertAlign w:val="superscript"/>
              </w:rPr>
              <w:t>2</w:t>
            </w:r>
          </w:p>
        </w:tc>
        <w:tc>
          <w:tcPr>
            <w:tcW w:w="3174" w:type="dxa"/>
          </w:tcPr>
          <w:p w14:paraId="668913E3"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Obese </w:t>
            </w:r>
          </w:p>
        </w:tc>
      </w:tr>
    </w:tbl>
    <w:p w14:paraId="55E762E6" w14:textId="77777777" w:rsidR="00703566" w:rsidRPr="00703566" w:rsidRDefault="00703566" w:rsidP="00703566">
      <w:pPr>
        <w:spacing w:after="200" w:line="480" w:lineRule="auto"/>
        <w:jc w:val="center"/>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Asian pacific BMI classification (2007)</w:t>
      </w:r>
    </w:p>
    <w:p w14:paraId="28C9EC72" w14:textId="77777777" w:rsidR="00703566" w:rsidRPr="00703566" w:rsidRDefault="00703566" w:rsidP="00703566">
      <w:pPr>
        <w:spacing w:after="200" w:line="480" w:lineRule="auto"/>
        <w:jc w:val="both"/>
        <w:rPr>
          <w:rFonts w:ascii="Times New Roman" w:eastAsia="Calibri" w:hAnsi="Times New Roman" w:cs="Times New Roman"/>
          <w:b/>
          <w:sz w:val="24"/>
          <w:szCs w:val="24"/>
          <w:lang w:val="en-US"/>
        </w:rPr>
      </w:pPr>
      <w:r w:rsidRPr="00703566">
        <w:rPr>
          <w:rFonts w:ascii="Times New Roman" w:eastAsia="Calibri" w:hAnsi="Times New Roman" w:cs="Times New Roman"/>
          <w:b/>
          <w:sz w:val="24"/>
          <w:szCs w:val="24"/>
          <w:lang w:val="en-US"/>
        </w:rPr>
        <w:t>3.3.5 Assessment of Psychological Status</w:t>
      </w:r>
    </w:p>
    <w:p w14:paraId="6580918D"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The rapid transmission of COVID-19 pandemic up </w:t>
      </w:r>
      <w:proofErr w:type="gramStart"/>
      <w:r w:rsidRPr="00703566">
        <w:rPr>
          <w:rFonts w:ascii="Times New Roman" w:eastAsia="Calibri" w:hAnsi="Times New Roman" w:cs="Times New Roman"/>
          <w:sz w:val="24"/>
          <w:szCs w:val="24"/>
          <w:lang w:val="en-US"/>
        </w:rPr>
        <w:t>rise</w:t>
      </w:r>
      <w:proofErr w:type="gramEnd"/>
      <w:r w:rsidRPr="00703566">
        <w:rPr>
          <w:rFonts w:ascii="Times New Roman" w:eastAsia="Calibri" w:hAnsi="Times New Roman" w:cs="Times New Roman"/>
          <w:sz w:val="24"/>
          <w:szCs w:val="24"/>
          <w:lang w:val="en-US"/>
        </w:rPr>
        <w:t xml:space="preserve"> higher mortality rate, self-isolation, social distancing and quarantine increase the risk of mental health problems. Mental health issues (new or existing) could escalate and further affect cognitive and emotional function. The effect of mental health on older adults varies across the world and the influence of geriatric mental health factors could vary from low middle income to developed countries.  </w:t>
      </w:r>
    </w:p>
    <w:p w14:paraId="105CBAA6" w14:textId="77777777" w:rsidR="00703566" w:rsidRPr="00703566" w:rsidRDefault="00703566" w:rsidP="00703566">
      <w:pPr>
        <w:spacing w:after="200" w:line="480" w:lineRule="auto"/>
        <w:ind w:firstLine="720"/>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Depression, Anxiety and Stress Scale (DASS), created by Lovibond (1995) accepted by Australian psychological society is used for the study. DASS scale comprises of 42 items that examine the level of depression, anxiety and stress of the individual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{"citationItems":[{"id":"ITEM-1","itemData":{"abstract":"WHY: Depression is common in late life, affecting nearly 5 million of the 31 million Americans aged 65 and older with clinically significant depressive symptoms reaching 13% in older adults aged 80 and older (Blazer, 2009). Major depression is reported in 8-16% of community dwelling older adults, 5-10% of older medical outpatients seeing a primary care provider, 10-12% of medical-surgical hospitalized older adults with 23% more experiencing significant depressive symptoms (Blazer, 2009). Recognition in long-term care facilities is poor and not consistent amongst studies (Blazer, 2009). Depression is not a natural part of aging. Depression is often reversible with prompt recognition and appropriate treatment. However, if left untreated, depression may result in the onset of physical, cognitive, functional, and social impairment, as well as decreased quality of life, delayed recovery from medical illness and surgery, increased health care utilization, and suicide. BEST TOOL: While there are many instruments available to measure depression, the Geriatric Depression Scale (GDS), first created by Yesavage, et al., has been tested and used extensively with the older population. The GDS Long Form is a brief, 30-item questionnaire in which participants are asked to respond by answering yes or no in reference to how they felt over the past week. A Short Form GDS consisting of 15 questions was developed in 1986. Questions from the Long Form GDS which had the highest correlation with depressive symptoms in validation studies were selected for the short version. Of the 15 items, 10 indicated the presence of depression when answered positively, while the rest (question numbers 1, 5, 7, 11, 13) indicated depression when answered negatively. Scores of 0-4 are considered normal, depending on age, education, and complaints; 5-8 indicate mild depression; 9-11 indicate moderate depression; and 12-15 indicate severe depression. The Short Form is more easily used by physically ill and mildly to moderately demented patients who have short attention spans and/or feel easily fatigued. It takes about 5 to 7 minutes to complete.","author":[{"dropping-particle":"","family":"Greenberg","given":"Sherry A","non-dropping-particle":"","parse-names":false,"suffix":""}],"id":"ITEM-1","issued":{"date-parts":[["2012"]]},"title":"The Geriatric Depression Scale (GDS)","type":"report"},"uris":["http://www.mendeley.com/documents/?uuid=126fecba-9554-3d0b-9af3-a4edca3dd51f"]}],"mendeley":{"formattedCitation":"(Greenberg, 2012)","plainTextFormattedCitation":"(Greenberg, 2012)","previouslyFormattedCitation":"(Greenberg, 2012)"},"properties":{"noteIndex":0},"schema":"https://github.com/citation-style-language/schema/raw/master/csl-citation.json"}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(Greenberg, 2012)</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The DASS is an instrument for self-reporting, and no special skills are required to administer it. DASS interpretation can, however, be carried out by people with proper psychological science experience, including emotion, psychopathology and evaluation. When the DASS is </w:t>
      </w:r>
      <w:r w:rsidRPr="00703566">
        <w:rPr>
          <w:rFonts w:ascii="Times New Roman" w:eastAsia="Calibri" w:hAnsi="Times New Roman" w:cs="Times New Roman"/>
          <w:sz w:val="24"/>
          <w:szCs w:val="24"/>
          <w:lang w:val="en-US"/>
        </w:rPr>
        <w:lastRenderedPageBreak/>
        <w:t xml:space="preserve">administered to people who have requested clinical assistance or who show high levels of distress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{"citationItems":[{"id":"ITEM-1","itemData":{"DOI":"10.1023/A","ISSN":"02545330","abstract":"The problem of characterizing the least expensive bond portfolio that enables one to meet his/her liability to pay C dollars K years from now is dealt with in this article. Bond prices are allowed to be either overpriced or underpriced at the purchase time, while at the sale time the bonds are suppose to be fairly priced. Assuming shifts in spot rates to occur instantly after the acquisition of a bond portfolio Z and to follow fairly general type of behavior described by the condition (2), we give both necessary and sufficient conditions for Z to solve the immunization problem above. Our model is general enough to cover situations with twists in the yield curve. Making use of the K-T conditions, we explain in remark 7 why we focus on search of an optimal portfolio in the class of barbell strategies. Finally, by means of the K-T conditions we find an optimal bond portfolio which solves the immunization problem. © J.C. Baltzer AG, Science Publishers.","author":[{"dropping-particle":"","family":"Zaremba","given":"Leszek S.","non-dropping-particle":"","parse-names":false,"suffix":""},{"dropping-particle":"","family":"Smoleński","given":"Włodzimierz H.","non-dropping-particle":"","parse-names":false,"suffix":""}],"container-title":"Annals of Operations Research","id":"ITEM-1","issue":"1-4","issued":{"date-parts":[["2000"]]},"page":"131-141","title":"Optimal portfolio choice under a liability constraint","type":"article-journal","volume":"97"},"uris":["http://www.mendeley.com/documents/?uuid=510a12e7-d04d-3758-a29d-41e12166c391"]}],"mendeley":{"formattedCitation":"(Zaremba &amp; Smoleński, 2000)","plainTextFormattedCitation":"(Zaremba &amp; Smoleński, 2000)","previouslyFormattedCitation":"(Zaremba &amp; Smoleński, 2000)"},"properties":{"noteIndex":0},"schema":"https://github.com/citation-style-language/schema/raw/master/csl-citation.json"}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(Zaremba &amp; Smoleński, 2000)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50711F69" w14:textId="77777777" w:rsidR="00703566" w:rsidRPr="00703566" w:rsidRDefault="00703566" w:rsidP="00703566">
      <w:pPr>
        <w:spacing w:after="200" w:line="480" w:lineRule="auto"/>
        <w:ind w:firstLine="720"/>
        <w:jc w:val="both"/>
        <w:rPr>
          <w:rFonts w:ascii="Times New Roman" w:eastAsia="Calibri" w:hAnsi="Times New Roman" w:cs="Times New Roman"/>
          <w:sz w:val="24"/>
          <w:szCs w:val="24"/>
          <w:lang w:val="en-US"/>
        </w:rPr>
      </w:pPr>
    </w:p>
    <w:p w14:paraId="1ECEE653" w14:textId="77777777" w:rsidR="00703566" w:rsidRPr="00703566" w:rsidRDefault="00703566" w:rsidP="00703566">
      <w:pPr>
        <w:spacing w:after="200" w:line="480" w:lineRule="auto"/>
        <w:ind w:left="1440" w:firstLine="720"/>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Table2</w:t>
      </w:r>
    </w:p>
    <w:p w14:paraId="0266B634" w14:textId="77777777" w:rsidR="00703566" w:rsidRPr="00703566" w:rsidRDefault="00703566" w:rsidP="00703566">
      <w:pPr>
        <w:spacing w:after="200" w:line="480" w:lineRule="auto"/>
        <w:ind w:firstLine="720"/>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  DASS Tool Score</w:t>
      </w:r>
    </w:p>
    <w:tbl>
      <w:tblPr>
        <w:tblStyle w:val="TableGrid1"/>
        <w:tblW w:w="0" w:type="auto"/>
        <w:jc w:val="center"/>
        <w:tblLook w:val="04A0" w:firstRow="1" w:lastRow="0" w:firstColumn="1" w:lastColumn="0" w:noHBand="0" w:noVBand="1"/>
      </w:tblPr>
      <w:tblGrid>
        <w:gridCol w:w="2195"/>
        <w:gridCol w:w="2204"/>
        <w:gridCol w:w="2191"/>
        <w:gridCol w:w="2183"/>
      </w:tblGrid>
      <w:tr w:rsidR="00703566" w:rsidRPr="00703566" w14:paraId="1C1D90C9" w14:textId="77777777" w:rsidTr="008A6F48">
        <w:trPr>
          <w:trHeight w:val="625"/>
          <w:jc w:val="center"/>
        </w:trPr>
        <w:tc>
          <w:tcPr>
            <w:tcW w:w="2195" w:type="dxa"/>
          </w:tcPr>
          <w:p w14:paraId="39689746"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Meaning</w:t>
            </w:r>
          </w:p>
        </w:tc>
        <w:tc>
          <w:tcPr>
            <w:tcW w:w="2204" w:type="dxa"/>
          </w:tcPr>
          <w:p w14:paraId="7C801C9D"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Depression </w:t>
            </w:r>
          </w:p>
        </w:tc>
        <w:tc>
          <w:tcPr>
            <w:tcW w:w="2191" w:type="dxa"/>
          </w:tcPr>
          <w:p w14:paraId="59D6AF1D"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Anxiety </w:t>
            </w:r>
          </w:p>
        </w:tc>
        <w:tc>
          <w:tcPr>
            <w:tcW w:w="2183" w:type="dxa"/>
          </w:tcPr>
          <w:p w14:paraId="1C08E3F3"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Stress </w:t>
            </w:r>
          </w:p>
        </w:tc>
      </w:tr>
      <w:tr w:rsidR="00703566" w:rsidRPr="00703566" w14:paraId="3CFE8DCA" w14:textId="77777777" w:rsidTr="008A6F48">
        <w:trPr>
          <w:trHeight w:val="643"/>
          <w:jc w:val="center"/>
        </w:trPr>
        <w:tc>
          <w:tcPr>
            <w:tcW w:w="2195" w:type="dxa"/>
          </w:tcPr>
          <w:p w14:paraId="354828A4"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Normal </w:t>
            </w:r>
          </w:p>
        </w:tc>
        <w:tc>
          <w:tcPr>
            <w:tcW w:w="2204" w:type="dxa"/>
          </w:tcPr>
          <w:p w14:paraId="2C4BE935"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0 -9</w:t>
            </w:r>
          </w:p>
        </w:tc>
        <w:tc>
          <w:tcPr>
            <w:tcW w:w="2191" w:type="dxa"/>
          </w:tcPr>
          <w:p w14:paraId="773E509F"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0 -7</w:t>
            </w:r>
          </w:p>
        </w:tc>
        <w:tc>
          <w:tcPr>
            <w:tcW w:w="2183" w:type="dxa"/>
          </w:tcPr>
          <w:p w14:paraId="2CA7D0B5"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0 -14</w:t>
            </w:r>
          </w:p>
        </w:tc>
      </w:tr>
      <w:tr w:rsidR="00703566" w:rsidRPr="00703566" w14:paraId="35BB997C" w14:textId="77777777" w:rsidTr="008A6F48">
        <w:trPr>
          <w:trHeight w:val="625"/>
          <w:jc w:val="center"/>
        </w:trPr>
        <w:tc>
          <w:tcPr>
            <w:tcW w:w="2195" w:type="dxa"/>
          </w:tcPr>
          <w:p w14:paraId="0C9256A7"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Mild </w:t>
            </w:r>
          </w:p>
        </w:tc>
        <w:tc>
          <w:tcPr>
            <w:tcW w:w="2204" w:type="dxa"/>
          </w:tcPr>
          <w:p w14:paraId="6512F718"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10-13</w:t>
            </w:r>
          </w:p>
        </w:tc>
        <w:tc>
          <w:tcPr>
            <w:tcW w:w="2191" w:type="dxa"/>
          </w:tcPr>
          <w:p w14:paraId="239E36ED"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8-9</w:t>
            </w:r>
          </w:p>
        </w:tc>
        <w:tc>
          <w:tcPr>
            <w:tcW w:w="2183" w:type="dxa"/>
          </w:tcPr>
          <w:p w14:paraId="07ADE876"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15-18</w:t>
            </w:r>
          </w:p>
        </w:tc>
      </w:tr>
      <w:tr w:rsidR="00703566" w:rsidRPr="00703566" w14:paraId="6B235A65" w14:textId="77777777" w:rsidTr="008A6F48">
        <w:trPr>
          <w:trHeight w:val="625"/>
          <w:jc w:val="center"/>
        </w:trPr>
        <w:tc>
          <w:tcPr>
            <w:tcW w:w="2195" w:type="dxa"/>
          </w:tcPr>
          <w:p w14:paraId="78FC00BC"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Moderate </w:t>
            </w:r>
          </w:p>
        </w:tc>
        <w:tc>
          <w:tcPr>
            <w:tcW w:w="2204" w:type="dxa"/>
          </w:tcPr>
          <w:p w14:paraId="76B53291"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14 -20</w:t>
            </w:r>
          </w:p>
        </w:tc>
        <w:tc>
          <w:tcPr>
            <w:tcW w:w="2191" w:type="dxa"/>
          </w:tcPr>
          <w:p w14:paraId="2061D1B3"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10 -14</w:t>
            </w:r>
          </w:p>
        </w:tc>
        <w:tc>
          <w:tcPr>
            <w:tcW w:w="2183" w:type="dxa"/>
          </w:tcPr>
          <w:p w14:paraId="63B67E97"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19-25</w:t>
            </w:r>
          </w:p>
        </w:tc>
      </w:tr>
      <w:tr w:rsidR="00703566" w:rsidRPr="00703566" w14:paraId="1FCD86E8" w14:textId="77777777" w:rsidTr="008A6F48">
        <w:trPr>
          <w:trHeight w:val="643"/>
          <w:jc w:val="center"/>
        </w:trPr>
        <w:tc>
          <w:tcPr>
            <w:tcW w:w="2195" w:type="dxa"/>
          </w:tcPr>
          <w:p w14:paraId="464FB1FA"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Severe </w:t>
            </w:r>
          </w:p>
        </w:tc>
        <w:tc>
          <w:tcPr>
            <w:tcW w:w="2204" w:type="dxa"/>
          </w:tcPr>
          <w:p w14:paraId="7A6BA333"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21 -27</w:t>
            </w:r>
          </w:p>
        </w:tc>
        <w:tc>
          <w:tcPr>
            <w:tcW w:w="2191" w:type="dxa"/>
          </w:tcPr>
          <w:p w14:paraId="0E60E480"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15 -19</w:t>
            </w:r>
          </w:p>
        </w:tc>
        <w:tc>
          <w:tcPr>
            <w:tcW w:w="2183" w:type="dxa"/>
          </w:tcPr>
          <w:p w14:paraId="362AB77A"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26 -33</w:t>
            </w:r>
          </w:p>
        </w:tc>
      </w:tr>
      <w:tr w:rsidR="00703566" w:rsidRPr="00703566" w14:paraId="0A5AF0C1" w14:textId="77777777" w:rsidTr="008A6F48">
        <w:trPr>
          <w:trHeight w:val="625"/>
          <w:jc w:val="center"/>
        </w:trPr>
        <w:tc>
          <w:tcPr>
            <w:tcW w:w="2195" w:type="dxa"/>
          </w:tcPr>
          <w:p w14:paraId="2ABD45FA"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Extreme </w:t>
            </w:r>
          </w:p>
        </w:tc>
        <w:tc>
          <w:tcPr>
            <w:tcW w:w="2204" w:type="dxa"/>
          </w:tcPr>
          <w:p w14:paraId="3A325D8A"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28 +</w:t>
            </w:r>
          </w:p>
        </w:tc>
        <w:tc>
          <w:tcPr>
            <w:tcW w:w="2191" w:type="dxa"/>
          </w:tcPr>
          <w:p w14:paraId="393B492E"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20</w:t>
            </w:r>
          </w:p>
        </w:tc>
        <w:tc>
          <w:tcPr>
            <w:tcW w:w="2183" w:type="dxa"/>
          </w:tcPr>
          <w:p w14:paraId="32733F94"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33+</w:t>
            </w:r>
          </w:p>
        </w:tc>
      </w:tr>
    </w:tbl>
    <w:p w14:paraId="5DD2C360" w14:textId="77777777" w:rsidR="00703566" w:rsidRPr="00703566" w:rsidRDefault="00703566" w:rsidP="00703566">
      <w:pPr>
        <w:spacing w:after="200" w:line="480" w:lineRule="auto"/>
        <w:ind w:left="2160" w:firstLine="720"/>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(Lovibond,1995)</w:t>
      </w:r>
    </w:p>
    <w:p w14:paraId="799E1A9B"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 xml:space="preserve">Old age people are more sensitive, during epidemic period as they suffer more from psychological disturbances associated with aging process as well as corona virus infection. Recent studies shows that the occurrence of psychological disturbance is more in this pandemic era. Delirium is a psychological disturbance characterized by consciousness, disorientation and other cognitive impairments, that adversely affect older people and it also leads to death and prolonged hospitalization that is generally found among old age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{"citationItems":[{"id":"ITEM-1","itemData":{"DOI":"10.4103/0971-5916.174546","ISSN":"09715916","PMID":"26831414","abstract":"Delirium is an acute disorder of attention and cognition seen relatively commonly in people aged 65 yr or older. The prevalence is estimated to be between 11 and 42 per cent for elderly patients on medical wards. The prevalence is also high in nursing homes and long term care (LTC) facilities. The consequences of delirium could be significant such as an increase in mortality in the hospital, long-term cognitive decline, loss of autonomy and increased risk to be institutionalized. Despite being a common condition, it remains under-recognised, poorly understood and not adequately managed. Advanced age and dementia are the most important risk factors. Pain, dehydration, infections, stroke and metabolic disturbances, and surgery are the most common triggering factors. Delirium is preventable in a large proportion of cases and therefore, it is also important from a public health perspective for interventions to reduce further complications and the substantial costs associated with these. Since the aetiology is, in most cases, multfactorial, it is important to consider a multi-component approach to management, both pharmacological and non-pharmacological. Detection and treatment of triggering causes must have high priority in case of delirium. The aim of this review is to highlight the importance of delirium in the elderly population, given the increasing numbers of ageing people as well as increasing geriatric age.","author":[{"dropping-particle":"","family":"Kukreja","given":"Deepti","non-dropping-particle":"","parse-names":false,"suffix":""},{"dropping-particle":"","family":"Günther","given":"Ulf","non-dropping-particle":"","parse-names":false,"suffix":""},{"dropping-particle":"","family":"Popp","given":"Julius","non-dropping-particle":"","parse-names":false,"suffix":""}],"container-title":"Indian Journal of Medical Research","id":"ITEM-1","issue":"6","issued":{"date-parts":[["2015","12","1"]]},"page":"655-662","publisher":"Indian Council of Medical Research","title":"Delirium in the elderly: Current problems with increasing geriatric age","type":"article","volume":"142"},"uris":["http://www.mendeley.com/documents/?uuid=c2cc59e1-d51d-33d8-a5c1-1c306e3a8b0a"]}],"mendeley":{"formattedCitation":"(Kukreja et al., 2015)","plainTextFormattedCitation":"(Kukreja et al., 2015)","previouslyFormattedCitation":"(Kukreja et al., 2015)"},"properties":{"noteIndex":0},"schema":"https://github.com/citation-style-language/schema/raw/master/csl-citation.json"}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(Kukreja et al., 2015)</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416F9941"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w:t>
      </w:r>
      <w:r w:rsidRPr="00703566">
        <w:rPr>
          <w:rFonts w:ascii="Times New Roman" w:eastAsia="Calibri" w:hAnsi="Times New Roman" w:cs="Times New Roman"/>
          <w:sz w:val="24"/>
          <w:szCs w:val="24"/>
          <w:lang w:val="en-US"/>
        </w:rPr>
        <w:tab/>
        <w:t xml:space="preserve">4AT tool were used to determine cognitive impairment in elders. The 4AT is made up of four sections. Item 1 determines how alert users are.  The Abbreviated Mental Test 4 (AMT4) and months backwards are the next two things, all of which are brief cognitive screening tests. Item 4 evaluates a sudden transition or fluctuation in one's mental state. A score </w:t>
      </w:r>
      <w:r w:rsidRPr="00703566">
        <w:rPr>
          <w:rFonts w:ascii="Times New Roman" w:eastAsia="Calibri" w:hAnsi="Times New Roman" w:cs="Times New Roman"/>
          <w:sz w:val="24"/>
          <w:szCs w:val="24"/>
          <w:lang w:val="en-US"/>
        </w:rPr>
        <w:lastRenderedPageBreak/>
        <w:t xml:space="preserve">of 4 or higher indicates the possibility of delirium. Positive levels of alertness or change objects, as well as un testability on both cognitive items, will result in a score of 4 or higher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{"citationItems":[{"id":"ITEM-1","itemData":{"DOI":"10.1176/ajp.140.6.734","ISSN":"0002953X","abstract":"A 6-item Orientation-Memory-Concentration Test has been validated as a measure of cognitive impairment. This test predicted the scores on a validated 26-item mental status questionnaire of two patient groups in a skilled nursing home, patients in a health-related facility, and in a senior citizens' center. There was a positive correlation between scores on the 6-item test and plaque counts obtained from the cerebral cortex of 38 subjects at autopsy. This test, which is easily administered by a nonphysician, has been shown to discriminate among mild, moderate, and severe cognitive deficits.","author":[{"dropping-particle":"","family":"Katzman","given":"R.","non-dropping-particle":"","parse-names":false,"suffix":""},{"dropping-particle":"","family":"Brown","given":"T.","non-dropping-particle":"","parse-names":false,"suffix":""},{"dropping-particle":"","family":"Fuld","given":"P.","non-dropping-particle":"","parse-names":false,"suffix":""},{"dropping-particle":"","family":"Peck","given":"A.","non-dropping-particle":"","parse-names":false,"suffix":""},{"dropping-particle":"","family":"Schechter","given":"R.","non-dropping-particle":"","parse-names":false,"suffix":""},{"dropping-particle":"","family":"Schimmel","given":"H.","non-dropping-particle":"","parse-names":false,"suffix":""}],"container-title":"American Journal of Psychiatry","id":"ITEM-1","issue":"6","issued":{"date-parts":[["1983"]]},"page":"734-739","title":"Validation of a short orientation-memory-concentration test of congestive impairment","type":"article","volume":"140"},"uris":["http://www.mendeley.com/documents/?uuid=d767faa7-f91f-3a93-8513-841661941894"]}],"mendeley":{"formattedCitation":"(Katzman et al., 1983)","manualFormatting":"(Katzman et al., 2013","plainTextFormattedCitation":"(Katzman et al., 1983)","previouslyFormattedCitation":"(Katzman et al., 1983)"},"properties":{"noteIndex":0},"schema":"https://github.com/citation-style-language/schema/raw/master/csl-citation.json"}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(Katzman et al., 2013</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715730A5" w14:textId="77777777" w:rsidR="00703566" w:rsidRPr="00703566" w:rsidRDefault="00703566" w:rsidP="00703566">
      <w:pPr>
        <w:spacing w:after="200"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3.4 Statistical Analysis and Interpretation</w:t>
      </w:r>
    </w:p>
    <w:p w14:paraId="38F22892"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SPSS is a commercially available data processing and statistical analysis software package. SPSS was instrumental in transforming research methods in the social sciences. As a user-friendly and comprehensive statistics programmer, it enabled researchers to perform complex statistical analyses on large datasets without having to rely on statisticians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{"citationItems":[{"id":"ITEM-1","itemData":{"ISBN":"FCND DISCUSSION PAPER 128\\rEPTD DISCUSSION PAPER 89","abstract":"As the goals of international agricultural research move beyond increasing food production to the broader aims of reducing poverty, both agricultural research and studies of its impact become more complex. Yet examining the magnitude and mechanisms through which different types of agricultural research are able to help the poor is essential, not only to evaluate claims for continued funding of such research, but more importantly, to guide future research in ways that will make the greatest contribution to poverty reduction. This paper reports on the approach used in a multicountry study of the poverty impact of research programs under the Consultative Group on International Agricultural Research (CGIAR). The studies use an expanded understanding of poverty that goes beyond income- or consumption-based headcounts or severity measures, to consider many other factors that poor people in different contexts define as contributing to their vulnerability, poverty, and well-being. The sustainable livelihoods framework provides a common conceptual approach to examining the ways in which agricultural research and technologies fit (or sometimes do not fit) into the livelihood strategies of households or individuals with different types of assets and other resources, strategies that often involve multiple activities undertaken at different times of the year. Applying this framework requires interdisciplinary research and a combination of quantitative and qualitative methods. This paper reports on the conceptual framework, methods, and findings to date of these studies. The paper provides an overview of the sustainable livelihoods approach, how it can be applied to agricultural research, and describes detailed methods and results from five case studies: (1) modern rice varieties in Bangladesh; (2) polyculture fishponds and vegetable gardens in Bangladesh; (3) soil fertility management practices in Kenya; (4) hybrid maize in Zimbabwe; and (5) creolized maize varieties in Mexico. Applying the sustainable livelihoods approach highlights the multilayered interactions between technologies and the vulnerability context of households, their asset base, intervening institutions, and livelihood strategies. However, additional aspects of culture, power, and history need to be integrated with the framework to understand the role of agricultural research in the lives of the poor. Additional explicit attention must be given to the implications of gender, ethnicity, class, or oth…","author":[{"dropping-particle":"","family":"Arkkelin","given":"Daniel","non-dropping-particle":"","parse-names":false,"suffix":""}],"container-title":"Psychology Curricular Materials 2014","id":"ITEM-1","issued":{"date-parts":[["2014"]]},"number-of-pages":"194","title":"Using SPSS to Understand Research and Data Analysis","type":"report","volume":"1"},"uris":["http://www.mendeley.com/documents/?uuid=6135f30f-cc46-354a-9b49-d68d0cf3b3be"]}],"mendeley":{"formattedCitation":"(Arkkelin, 2014)","plainTextFormattedCitation":"(Arkkelin, 2014)","previouslyFormattedCitation":"(Arkkelin, 2014)"},"properties":{"noteIndex":0},"schema":"https://github.com/citation-style-language/schema/raw/master/csl-citation.json"}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(Arkkelin, 2014)</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Descriptive and inferential analysis was computed. The descriptive statistics include number and percentage and inferential statistics of T-test (paired), chi-square test and Wilcoxon signed rank were used, as shown in </w:t>
      </w:r>
      <w:r w:rsidRPr="00703566">
        <w:rPr>
          <w:rFonts w:ascii="Times New Roman" w:eastAsia="Calibri" w:hAnsi="Times New Roman" w:cs="Times New Roman"/>
          <w:b/>
          <w:bCs/>
          <w:sz w:val="24"/>
          <w:szCs w:val="24"/>
          <w:lang w:val="en-US"/>
        </w:rPr>
        <w:t>Appendix No 2</w:t>
      </w:r>
      <w:r w:rsidRPr="00703566">
        <w:rPr>
          <w:rFonts w:ascii="Times New Roman" w:eastAsia="Calibri" w:hAnsi="Times New Roman" w:cs="Times New Roman"/>
          <w:sz w:val="24"/>
          <w:szCs w:val="24"/>
          <w:lang w:val="en-US"/>
        </w:rPr>
        <w:t>.</w:t>
      </w:r>
    </w:p>
    <w:p w14:paraId="3D0B41FB" w14:textId="77777777" w:rsidR="00703566" w:rsidRPr="00703566" w:rsidRDefault="00703566" w:rsidP="00703566">
      <w:pPr>
        <w:spacing w:after="200"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 test </w:t>
      </w:r>
      <w:proofErr w:type="spellStart"/>
      <w:r w:rsidRPr="00703566">
        <w:rPr>
          <w:rFonts w:ascii="Times New Roman" w:eastAsia="Calibri" w:hAnsi="Times New Roman" w:cs="Times New Roman"/>
          <w:b/>
          <w:bCs/>
          <w:sz w:val="24"/>
          <w:szCs w:val="24"/>
          <w:lang w:val="en-US"/>
        </w:rPr>
        <w:t>test</w:t>
      </w:r>
      <w:proofErr w:type="spellEnd"/>
    </w:p>
    <w:p w14:paraId="73EF04F6"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 t test compares the means of two classes. It's one of the most popular statistical hypothesis tests. Parametric and nonparametric approaches are two different forms of statistical inference. Parametric methods are a mathematical technique for determining the probability distribution of probability variables and drawing conclusions about the distribution's parameters. Nonparametric approaches are used in situations where the probability distribution cannot be described. T tests are a form of parametric method that can be used when the samples are regular, have equal variance, and are independent.</w:t>
      </w:r>
    </w:p>
    <w:p w14:paraId="339E35D9" w14:textId="77777777" w:rsidR="00703566" w:rsidRPr="00703566" w:rsidRDefault="00703566" w:rsidP="00703566">
      <w:pPr>
        <w:spacing w:after="200"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Chi-square test</w:t>
      </w:r>
    </w:p>
    <w:p w14:paraId="57848FA3"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he Chi-square test of independence (also known </w:t>
      </w:r>
      <w:proofErr w:type="gramStart"/>
      <w:r w:rsidRPr="00703566">
        <w:rPr>
          <w:rFonts w:ascii="Times New Roman" w:eastAsia="Calibri" w:hAnsi="Times New Roman" w:cs="Times New Roman"/>
          <w:sz w:val="24"/>
          <w:szCs w:val="24"/>
          <w:lang w:val="en-US"/>
        </w:rPr>
        <w:t>as  the</w:t>
      </w:r>
      <w:proofErr w:type="gramEnd"/>
      <w:r w:rsidRPr="00703566">
        <w:rPr>
          <w:rFonts w:ascii="Times New Roman" w:eastAsia="Calibri" w:hAnsi="Times New Roman" w:cs="Times New Roman"/>
          <w:sz w:val="24"/>
          <w:szCs w:val="24"/>
          <w:lang w:val="en-US"/>
        </w:rPr>
        <w:t xml:space="preserve">  Pearson  Chi-square  test,  or  simply  the  Chi-square) is one of the most useful statistics for testing hypotheses when the variables are nominal, as often happens in clinical research. When the dependent variable is evaluated at </w:t>
      </w:r>
      <w:r w:rsidRPr="00703566">
        <w:rPr>
          <w:rFonts w:ascii="Times New Roman" w:eastAsia="Calibri" w:hAnsi="Times New Roman" w:cs="Times New Roman"/>
          <w:sz w:val="24"/>
          <w:szCs w:val="24"/>
          <w:lang w:val="en-US"/>
        </w:rPr>
        <w:lastRenderedPageBreak/>
        <w:t>a nominal level, the Chi-square statistic is a non-parametric (distribution free) method for analyzing group differences. The Chi-square statistic, like all non-parametric statistics, is resilient to data distribution.</w:t>
      </w:r>
    </w:p>
    <w:p w14:paraId="138736D6" w14:textId="77777777" w:rsidR="00703566" w:rsidRPr="00703566" w:rsidRDefault="00703566" w:rsidP="00703566">
      <w:pPr>
        <w:spacing w:after="200"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Wilcoxon signed-rank test</w:t>
      </w:r>
    </w:p>
    <w:p w14:paraId="454F6252"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The </w:t>
      </w:r>
      <w:bookmarkStart w:id="0" w:name="_Hlk70056327"/>
      <w:r w:rsidRPr="00703566">
        <w:rPr>
          <w:rFonts w:ascii="Times New Roman" w:eastAsia="Calibri" w:hAnsi="Times New Roman" w:cs="Times New Roman"/>
          <w:sz w:val="24"/>
          <w:szCs w:val="24"/>
          <w:lang w:val="en-US"/>
        </w:rPr>
        <w:t xml:space="preserve">Wilcoxon signed-rank test </w:t>
      </w:r>
      <w:bookmarkEnd w:id="0"/>
      <w:r w:rsidRPr="00703566">
        <w:rPr>
          <w:rFonts w:ascii="Times New Roman" w:eastAsia="Calibri" w:hAnsi="Times New Roman" w:cs="Times New Roman"/>
          <w:sz w:val="24"/>
          <w:szCs w:val="24"/>
          <w:lang w:val="en-US"/>
        </w:rPr>
        <w:t>is a nonparametric test that is similar to a dependent t-test. Since the Wilcoxon signed-rank test does not presume that the data is regular, it can be used when the dependent t-test isn't suitable. It's used to compare two groups of scores from the same participants.</w:t>
      </w:r>
    </w:p>
    <w:p w14:paraId="117BAE92"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50E4D527"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75D22942"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1A85BEFE"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17FCCD0C"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585316BB"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069BE7D1"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2618F546"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268648AF"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089F3BA4"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5FBFC2CA"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5AA0B2C5"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61F72547" w14:textId="77777777" w:rsidR="00703566" w:rsidRPr="00703566" w:rsidRDefault="00703566" w:rsidP="00703566">
      <w:pPr>
        <w:spacing w:after="200" w:line="480" w:lineRule="auto"/>
        <w:ind w:left="1440" w:firstLine="720"/>
        <w:jc w:val="both"/>
        <w:rPr>
          <w:rFonts w:ascii="Times New Roman" w:eastAsia="Calibri" w:hAnsi="Times New Roman" w:cs="Times New Roman"/>
          <w:sz w:val="24"/>
          <w:szCs w:val="24"/>
          <w:lang w:val="en-US"/>
        </w:rPr>
      </w:pPr>
      <w:r w:rsidRPr="00703566">
        <w:rPr>
          <w:rFonts w:ascii="Times New Roman" w:eastAsia="Times New Roman" w:hAnsi="Times New Roman" w:cs="Times New Roman"/>
          <w:b/>
          <w:noProof/>
          <w:sz w:val="28"/>
          <w:szCs w:val="24"/>
          <w:lang w:val="en-GB"/>
        </w:rPr>
        <w:lastRenderedPageBreak/>
        <mc:AlternateContent>
          <mc:Choice Requires="wps">
            <w:drawing>
              <wp:anchor distT="0" distB="0" distL="114300" distR="114300" simplePos="0" relativeHeight="251662336" behindDoc="0" locked="0" layoutInCell="1" allowOverlap="1" wp14:anchorId="28D6BAAF" wp14:editId="50C48F62">
                <wp:simplePos x="0" y="0"/>
                <wp:positionH relativeFrom="column">
                  <wp:posOffset>-124460</wp:posOffset>
                </wp:positionH>
                <wp:positionV relativeFrom="paragraph">
                  <wp:posOffset>390525</wp:posOffset>
                </wp:positionV>
                <wp:extent cx="6086475" cy="552450"/>
                <wp:effectExtent l="133350" t="133350" r="142875" b="152400"/>
                <wp:wrapNone/>
                <wp:docPr id="53" name="Rectangle 53"/>
                <wp:cNvGraphicFramePr/>
                <a:graphic xmlns:a="http://schemas.openxmlformats.org/drawingml/2006/main">
                  <a:graphicData uri="http://schemas.microsoft.com/office/word/2010/wordprocessingShape">
                    <wps:wsp>
                      <wps:cNvSpPr/>
                      <wps:spPr>
                        <a:xfrm>
                          <a:off x="0" y="0"/>
                          <a:ext cx="6086475" cy="552450"/>
                        </a:xfrm>
                        <a:prstGeom prst="rect">
                          <a:avLst/>
                        </a:prstGeom>
                        <a:solidFill>
                          <a:srgbClr val="4AB5C4"/>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CE44BFE" w14:textId="77777777" w:rsidR="00703566" w:rsidRPr="00124E9B" w:rsidRDefault="00703566" w:rsidP="00703566">
                            <w:pPr>
                              <w:spacing w:line="360" w:lineRule="auto"/>
                              <w:jc w:val="both"/>
                              <w:rPr>
                                <w:rFonts w:ascii="Times New Roman" w:hAnsi="Times New Roman" w:cs="Times New Roman"/>
                                <w:sz w:val="24"/>
                                <w:szCs w:val="24"/>
                              </w:rPr>
                            </w:pPr>
                            <w:r w:rsidRPr="00124E9B">
                              <w:rPr>
                                <w:rFonts w:ascii="Times New Roman" w:hAnsi="Times New Roman" w:cs="Times New Roman"/>
                                <w:sz w:val="24"/>
                                <w:szCs w:val="24"/>
                              </w:rPr>
                              <w:t>DETERMINANTS</w:t>
                            </w:r>
                            <w:r>
                              <w:rPr>
                                <w:rFonts w:ascii="Times New Roman" w:hAnsi="Times New Roman" w:cs="Times New Roman"/>
                                <w:sz w:val="24"/>
                                <w:szCs w:val="24"/>
                              </w:rPr>
                              <w:t xml:space="preserve"> </w:t>
                            </w:r>
                            <w:r w:rsidRPr="00124E9B">
                              <w:rPr>
                                <w:rFonts w:ascii="Times New Roman" w:hAnsi="Times New Roman" w:cs="Times New Roman"/>
                                <w:sz w:val="24"/>
                                <w:szCs w:val="24"/>
                              </w:rPr>
                              <w:t>OF COVID OUTBREAK AND NUTRITIONAL PROFILE OF GERIATRIC COVID -19 PATIENTS IN COASTAL AREAS OF ALAPPUZHA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6BAAF" id="Rectangle 53" o:spid="_x0000_s1026" style="position:absolute;left:0;text-align:left;margin-left:-9.8pt;margin-top:30.75pt;width:479.25pt;height: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" fillcolor="#4ab5c4" stroked="f" strokeweight="1pt">
                <v:shadow on="t" color="black" offset="0,1pt"/>
                <v:textbox>
                  <w:txbxContent>
                    <w:p w14:paraId="5CE44BFE" w14:textId="77777777" w:rsidR="00703566" w:rsidRPr="00124E9B" w:rsidRDefault="00703566" w:rsidP="00703566">
                      <w:pPr>
                        <w:spacing w:line="360" w:lineRule="auto"/>
                        <w:jc w:val="both"/>
                        <w:rPr>
                          <w:rFonts w:ascii="Times New Roman" w:hAnsi="Times New Roman" w:cs="Times New Roman"/>
                          <w:sz w:val="24"/>
                          <w:szCs w:val="24"/>
                        </w:rPr>
                      </w:pPr>
                      <w:r w:rsidRPr="00124E9B">
                        <w:rPr>
                          <w:rFonts w:ascii="Times New Roman" w:hAnsi="Times New Roman" w:cs="Times New Roman"/>
                          <w:sz w:val="24"/>
                          <w:szCs w:val="24"/>
                        </w:rPr>
                        <w:t>DETERMINANTS</w:t>
                      </w:r>
                      <w:r>
                        <w:rPr>
                          <w:rFonts w:ascii="Times New Roman" w:hAnsi="Times New Roman" w:cs="Times New Roman"/>
                          <w:sz w:val="24"/>
                          <w:szCs w:val="24"/>
                        </w:rPr>
                        <w:t xml:space="preserve"> </w:t>
                      </w:r>
                      <w:r w:rsidRPr="00124E9B">
                        <w:rPr>
                          <w:rFonts w:ascii="Times New Roman" w:hAnsi="Times New Roman" w:cs="Times New Roman"/>
                          <w:sz w:val="24"/>
                          <w:szCs w:val="24"/>
                        </w:rPr>
                        <w:t>OF COVID OUTBREAK AND NUTRITIONAL PROFILE OF GERIATRIC COVID -19 PATIENTS IN COASTAL AREAS OF ALAPPUZHA</w:t>
                      </w:r>
                    </w:p>
                  </w:txbxContent>
                </v:textbox>
              </v:rect>
            </w:pict>
          </mc:Fallback>
        </mc:AlternateContent>
      </w:r>
      <w:r w:rsidRPr="00703566">
        <w:rPr>
          <w:rFonts w:ascii="Times New Roman" w:eastAsia="Calibri" w:hAnsi="Times New Roman" w:cs="Times New Roman"/>
          <w:sz w:val="24"/>
          <w:szCs w:val="24"/>
          <w:lang w:val="en-US"/>
        </w:rPr>
        <w:t xml:space="preserve">     </w:t>
      </w:r>
      <w:r w:rsidRPr="00703566">
        <w:rPr>
          <w:rFonts w:ascii="Times New Roman" w:eastAsia="Times New Roman" w:hAnsi="Times New Roman" w:cs="Times New Roman"/>
          <w:b/>
          <w:sz w:val="28"/>
          <w:szCs w:val="24"/>
          <w:lang w:val="en-GB"/>
        </w:rPr>
        <w:t>RESEARCH DESIGN</w:t>
      </w:r>
    </w:p>
    <w:p w14:paraId="615DFC58" w14:textId="77777777" w:rsidR="00703566" w:rsidRPr="00703566" w:rsidRDefault="00703566" w:rsidP="00703566">
      <w:pPr>
        <w:spacing w:line="360" w:lineRule="auto"/>
        <w:jc w:val="center"/>
        <w:rPr>
          <w:rFonts w:ascii="Times New Roman" w:eastAsia="Times New Roman" w:hAnsi="Times New Roman" w:cs="Times New Roman"/>
          <w:b/>
          <w:sz w:val="28"/>
          <w:szCs w:val="24"/>
          <w:lang w:val="en-GB"/>
        </w:rPr>
      </w:pPr>
    </w:p>
    <w:p w14:paraId="6DA696DB" w14:textId="77777777" w:rsidR="00703566" w:rsidRPr="00703566" w:rsidRDefault="00703566" w:rsidP="00703566">
      <w:pPr>
        <w:spacing w:line="360" w:lineRule="auto"/>
        <w:jc w:val="both"/>
        <w:rPr>
          <w:rFonts w:ascii="Times New Roman" w:eastAsia="Times New Roman" w:hAnsi="Times New Roman" w:cs="Times New Roman"/>
          <w:b/>
          <w:sz w:val="24"/>
          <w:szCs w:val="24"/>
          <w:lang w:val="en-GB"/>
        </w:rPr>
      </w:pP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63360" behindDoc="0" locked="0" layoutInCell="1" allowOverlap="1" wp14:anchorId="1FBD8B34" wp14:editId="4592133F">
                <wp:simplePos x="0" y="0"/>
                <wp:positionH relativeFrom="column">
                  <wp:posOffset>2876550</wp:posOffset>
                </wp:positionH>
                <wp:positionV relativeFrom="paragraph">
                  <wp:posOffset>75565</wp:posOffset>
                </wp:positionV>
                <wp:extent cx="57150" cy="333375"/>
                <wp:effectExtent l="19050" t="0" r="38100" b="47625"/>
                <wp:wrapNone/>
                <wp:docPr id="54" name="Down Arrow 54"/>
                <wp:cNvGraphicFramePr/>
                <a:graphic xmlns:a="http://schemas.openxmlformats.org/drawingml/2006/main">
                  <a:graphicData uri="http://schemas.microsoft.com/office/word/2010/wordprocessingShape">
                    <wps:wsp>
                      <wps:cNvSpPr/>
                      <wps:spPr>
                        <a:xfrm>
                          <a:off x="0" y="0"/>
                          <a:ext cx="57150" cy="33337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CFFB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26" type="#_x0000_t67" style="position:absolute;margin-left:226.5pt;margin-top:5.95pt;width:4.5pt;height:2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" adj="19749" fillcolor="window" strokecolor="#549e39" strokeweight="1pt"/>
            </w:pict>
          </mc:Fallback>
        </mc:AlternateContent>
      </w:r>
    </w:p>
    <w:p w14:paraId="2AF63610"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64384" behindDoc="0" locked="0" layoutInCell="1" allowOverlap="1" wp14:anchorId="0FF92B0F" wp14:editId="64F5A9C0">
                <wp:simplePos x="0" y="0"/>
                <wp:positionH relativeFrom="column">
                  <wp:posOffset>-121920</wp:posOffset>
                </wp:positionH>
                <wp:positionV relativeFrom="paragraph">
                  <wp:posOffset>76200</wp:posOffset>
                </wp:positionV>
                <wp:extent cx="6086475" cy="428625"/>
                <wp:effectExtent l="114300" t="114300" r="142875" b="180975"/>
                <wp:wrapNone/>
                <wp:docPr id="55" name="Rectangle 55"/>
                <wp:cNvGraphicFramePr/>
                <a:graphic xmlns:a="http://schemas.openxmlformats.org/drawingml/2006/main">
                  <a:graphicData uri="http://schemas.microsoft.com/office/word/2010/wordprocessingShape">
                    <wps:wsp>
                      <wps:cNvSpPr/>
                      <wps:spPr>
                        <a:xfrm>
                          <a:off x="0" y="0"/>
                          <a:ext cx="6086475" cy="428625"/>
                        </a:xfrm>
                        <a:prstGeom prst="rect">
                          <a:avLst/>
                        </a:prstGeom>
                        <a:solidFill>
                          <a:srgbClr val="FFC000"/>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DB5CF00" w14:textId="77777777" w:rsidR="00703566" w:rsidRPr="00167731" w:rsidRDefault="00703566" w:rsidP="00703566">
                            <w:pPr>
                              <w:spacing w:line="360" w:lineRule="auto"/>
                              <w:jc w:val="both"/>
                              <w:rPr>
                                <w:rFonts w:ascii="Times New Roman" w:hAnsi="Times New Roman" w:cs="Times New Roman"/>
                                <w:sz w:val="24"/>
                                <w:szCs w:val="24"/>
                              </w:rPr>
                            </w:pPr>
                            <w:r w:rsidRPr="00C2027F">
                              <w:rPr>
                                <w:rFonts w:ascii="Times New Roman" w:hAnsi="Times New Roman" w:cs="Times New Roman"/>
                                <w:b/>
                                <w:color w:val="3E762A"/>
                                <w:sz w:val="24"/>
                                <w:szCs w:val="24"/>
                              </w:rPr>
                              <w:t>AREA</w:t>
                            </w:r>
                            <w:r w:rsidRPr="00C2027F">
                              <w:rPr>
                                <w:rFonts w:ascii="Times New Roman" w:hAnsi="Times New Roman" w:cs="Times New Roman"/>
                                <w:color w:val="33473C"/>
                                <w:sz w:val="24"/>
                                <w:szCs w:val="24"/>
                              </w:rPr>
                              <w:t xml:space="preserve">: </w:t>
                            </w:r>
                            <w:r>
                              <w:rPr>
                                <w:rFonts w:ascii="Times New Roman" w:hAnsi="Times New Roman" w:cs="Times New Roman"/>
                                <w:sz w:val="24"/>
                                <w:szCs w:val="24"/>
                              </w:rPr>
                              <w:t>KADAKKARAAPALLY GRAMA PANCHAYATH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92B0F" id="Rectangle 55" o:spid="_x0000_s1027" style="position:absolute;left:0;text-align:left;margin-left:-9.6pt;margin-top:6pt;width:479.25pt;height:3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" fillcolor="#ffc000" stroked="f" strokeweight="2pt">
                <v:shadow on="t" color="black" offset="0,1pt"/>
                <v:textbox>
                  <w:txbxContent>
                    <w:p w14:paraId="7DB5CF00" w14:textId="77777777" w:rsidR="00703566" w:rsidRPr="00167731" w:rsidRDefault="00703566" w:rsidP="00703566">
                      <w:pPr>
                        <w:spacing w:line="360" w:lineRule="auto"/>
                        <w:jc w:val="both"/>
                        <w:rPr>
                          <w:rFonts w:ascii="Times New Roman" w:hAnsi="Times New Roman" w:cs="Times New Roman"/>
                          <w:sz w:val="24"/>
                          <w:szCs w:val="24"/>
                        </w:rPr>
                      </w:pPr>
                      <w:r w:rsidRPr="00C2027F">
                        <w:rPr>
                          <w:rFonts w:ascii="Times New Roman" w:hAnsi="Times New Roman" w:cs="Times New Roman"/>
                          <w:b/>
                          <w:color w:val="3E762A"/>
                          <w:sz w:val="24"/>
                          <w:szCs w:val="24"/>
                        </w:rPr>
                        <w:t>AREA</w:t>
                      </w:r>
                      <w:r w:rsidRPr="00C2027F">
                        <w:rPr>
                          <w:rFonts w:ascii="Times New Roman" w:hAnsi="Times New Roman" w:cs="Times New Roman"/>
                          <w:color w:val="33473C"/>
                          <w:sz w:val="24"/>
                          <w:szCs w:val="24"/>
                        </w:rPr>
                        <w:t xml:space="preserve">: </w:t>
                      </w:r>
                      <w:r>
                        <w:rPr>
                          <w:rFonts w:ascii="Times New Roman" w:hAnsi="Times New Roman" w:cs="Times New Roman"/>
                          <w:sz w:val="24"/>
                          <w:szCs w:val="24"/>
                        </w:rPr>
                        <w:t>KADAKKARAAPALLY GRAMA PANCHAYATH</w:t>
                      </w:r>
                    </w:p>
                  </w:txbxContent>
                </v:textbox>
              </v:rect>
            </w:pict>
          </mc:Fallback>
        </mc:AlternateContent>
      </w:r>
    </w:p>
    <w:p w14:paraId="4284C9DF"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66432" behindDoc="0" locked="0" layoutInCell="1" allowOverlap="1" wp14:anchorId="3F7E19A5" wp14:editId="63AAA22F">
                <wp:simplePos x="0" y="0"/>
                <wp:positionH relativeFrom="column">
                  <wp:posOffset>-110490</wp:posOffset>
                </wp:positionH>
                <wp:positionV relativeFrom="paragraph">
                  <wp:posOffset>437515</wp:posOffset>
                </wp:positionV>
                <wp:extent cx="2466975" cy="647700"/>
                <wp:effectExtent l="133350" t="133350" r="142875" b="152400"/>
                <wp:wrapNone/>
                <wp:docPr id="59" name="Rectangle 59"/>
                <wp:cNvGraphicFramePr/>
                <a:graphic xmlns:a="http://schemas.openxmlformats.org/drawingml/2006/main">
                  <a:graphicData uri="http://schemas.microsoft.com/office/word/2010/wordprocessingShape">
                    <wps:wsp>
                      <wps:cNvSpPr/>
                      <wps:spPr>
                        <a:xfrm>
                          <a:off x="0" y="0"/>
                          <a:ext cx="2466975" cy="647700"/>
                        </a:xfrm>
                        <a:prstGeom prst="rect">
                          <a:avLst/>
                        </a:prstGeom>
                        <a:solidFill>
                          <a:srgbClr val="8AB833">
                            <a:lumMod val="60000"/>
                            <a:lumOff val="40000"/>
                          </a:srgb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CC1B3CE" w14:textId="77777777" w:rsidR="00703566" w:rsidRDefault="00703566" w:rsidP="00703566">
                            <w:pPr>
                              <w:spacing w:line="360" w:lineRule="auto"/>
                              <w:jc w:val="center"/>
                              <w:rPr>
                                <w:rFonts w:ascii="Times New Roman" w:hAnsi="Times New Roman" w:cs="Times New Roman"/>
                                <w:sz w:val="24"/>
                                <w:szCs w:val="24"/>
                              </w:rPr>
                            </w:pPr>
                            <w:r w:rsidRPr="00C43889">
                              <w:rPr>
                                <w:rFonts w:ascii="Times New Roman" w:hAnsi="Times New Roman" w:cs="Times New Roman"/>
                                <w:b/>
                                <w:color w:val="C00000"/>
                                <w:sz w:val="24"/>
                                <w:szCs w:val="24"/>
                              </w:rPr>
                              <w:t>SAMPLES (N)</w:t>
                            </w:r>
                            <w:r w:rsidRPr="00C43889">
                              <w:rPr>
                                <w:rFonts w:ascii="Times New Roman" w:hAnsi="Times New Roman" w:cs="Times New Roman"/>
                                <w:color w:val="C00000"/>
                                <w:sz w:val="24"/>
                                <w:szCs w:val="24"/>
                              </w:rPr>
                              <w:t xml:space="preserve"> </w:t>
                            </w:r>
                            <w:r>
                              <w:rPr>
                                <w:rFonts w:ascii="Times New Roman" w:hAnsi="Times New Roman" w:cs="Times New Roman"/>
                                <w:sz w:val="24"/>
                                <w:szCs w:val="24"/>
                              </w:rPr>
                              <w:t>= 100 SAMPLES</w:t>
                            </w:r>
                          </w:p>
                          <w:p w14:paraId="6E1BC4FE" w14:textId="77777777" w:rsidR="00703566" w:rsidRPr="00167731" w:rsidRDefault="00703566" w:rsidP="00703566">
                            <w:pPr>
                              <w:spacing w:line="360" w:lineRule="auto"/>
                              <w:jc w:val="center"/>
                              <w:rPr>
                                <w:rFonts w:ascii="Times New Roman" w:hAnsi="Times New Roman" w:cs="Times New Roman"/>
                                <w:sz w:val="24"/>
                                <w:szCs w:val="24"/>
                              </w:rPr>
                            </w:pPr>
                            <w:r>
                              <w:rPr>
                                <w:rFonts w:ascii="Times New Roman" w:hAnsi="Times New Roman" w:cs="Times New Roman"/>
                                <w:sz w:val="24"/>
                                <w:szCs w:val="24"/>
                              </w:rPr>
                              <w:t>(50 MALES &amp; 50 FEMALES)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E19A5" id="Rectangle 59" o:spid="_x0000_s1028" style="position:absolute;left:0;text-align:left;margin-left:-8.7pt;margin-top:34.45pt;width:194.2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" fillcolor="#bbdb7e" stroked="f" strokeweight="1pt">
                <v:shadow on="t" color="black" offset="0,1pt"/>
                <v:textbox>
                  <w:txbxContent>
                    <w:p w14:paraId="3CC1B3CE" w14:textId="77777777" w:rsidR="00703566" w:rsidRDefault="00703566" w:rsidP="00703566">
                      <w:pPr>
                        <w:spacing w:line="360" w:lineRule="auto"/>
                        <w:jc w:val="center"/>
                        <w:rPr>
                          <w:rFonts w:ascii="Times New Roman" w:hAnsi="Times New Roman" w:cs="Times New Roman"/>
                          <w:sz w:val="24"/>
                          <w:szCs w:val="24"/>
                        </w:rPr>
                      </w:pPr>
                      <w:r w:rsidRPr="00C43889">
                        <w:rPr>
                          <w:rFonts w:ascii="Times New Roman" w:hAnsi="Times New Roman" w:cs="Times New Roman"/>
                          <w:b/>
                          <w:color w:val="C00000"/>
                          <w:sz w:val="24"/>
                          <w:szCs w:val="24"/>
                        </w:rPr>
                        <w:t>SAMPLES (N)</w:t>
                      </w:r>
                      <w:r w:rsidRPr="00C43889">
                        <w:rPr>
                          <w:rFonts w:ascii="Times New Roman" w:hAnsi="Times New Roman" w:cs="Times New Roman"/>
                          <w:color w:val="C00000"/>
                          <w:sz w:val="24"/>
                          <w:szCs w:val="24"/>
                        </w:rPr>
                        <w:t xml:space="preserve"> </w:t>
                      </w:r>
                      <w:r>
                        <w:rPr>
                          <w:rFonts w:ascii="Times New Roman" w:hAnsi="Times New Roman" w:cs="Times New Roman"/>
                          <w:sz w:val="24"/>
                          <w:szCs w:val="24"/>
                        </w:rPr>
                        <w:t>= 100 SAMPLES</w:t>
                      </w:r>
                    </w:p>
                    <w:p w14:paraId="6E1BC4FE" w14:textId="77777777" w:rsidR="00703566" w:rsidRPr="00167731" w:rsidRDefault="00703566" w:rsidP="00703566">
                      <w:pPr>
                        <w:spacing w:line="360" w:lineRule="auto"/>
                        <w:jc w:val="center"/>
                        <w:rPr>
                          <w:rFonts w:ascii="Times New Roman" w:hAnsi="Times New Roman" w:cs="Times New Roman"/>
                          <w:sz w:val="24"/>
                          <w:szCs w:val="24"/>
                        </w:rPr>
                      </w:pPr>
                      <w:r>
                        <w:rPr>
                          <w:rFonts w:ascii="Times New Roman" w:hAnsi="Times New Roman" w:cs="Times New Roman"/>
                          <w:sz w:val="24"/>
                          <w:szCs w:val="24"/>
                        </w:rPr>
                        <w:t>(50 MALES &amp; 50 FEMALES)</w:t>
                      </w:r>
                    </w:p>
                  </w:txbxContent>
                </v:textbox>
              </v:rec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94080" behindDoc="0" locked="0" layoutInCell="1" allowOverlap="1" wp14:anchorId="241CDDB6" wp14:editId="02725388">
                <wp:simplePos x="0" y="0"/>
                <wp:positionH relativeFrom="column">
                  <wp:posOffset>4724400</wp:posOffset>
                </wp:positionH>
                <wp:positionV relativeFrom="paragraph">
                  <wp:posOffset>99695</wp:posOffset>
                </wp:positionV>
                <wp:extent cx="57150" cy="333375"/>
                <wp:effectExtent l="19050" t="0" r="38100" b="47625"/>
                <wp:wrapNone/>
                <wp:docPr id="56" name="Down Arrow 56"/>
                <wp:cNvGraphicFramePr/>
                <a:graphic xmlns:a="http://schemas.openxmlformats.org/drawingml/2006/main">
                  <a:graphicData uri="http://schemas.microsoft.com/office/word/2010/wordprocessingShape">
                    <wps:wsp>
                      <wps:cNvSpPr/>
                      <wps:spPr>
                        <a:xfrm>
                          <a:off x="0" y="0"/>
                          <a:ext cx="57150" cy="333375"/>
                        </a:xfrm>
                        <a:prstGeom prst="downArrow">
                          <a:avLst/>
                        </a:prstGeom>
                        <a:solidFill>
                          <a:sysClr val="window" lastClr="FFFFFF"/>
                        </a:solidFill>
                        <a:ln w="25400" cap="flat" cmpd="sng" algn="ctr">
                          <a:solidFill>
                            <a:srgbClr val="4F81BD"/>
                          </a:solidFill>
                          <a:prstDash val="solid"/>
                        </a:ln>
                        <a:effectLst/>
                      </wps:spPr>
                      <wps:txbx>
                        <w:txbxContent>
                          <w:p w14:paraId="3EBB2305" w14:textId="77777777" w:rsidR="00703566" w:rsidRDefault="00703566" w:rsidP="00703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CDDB6" id="Down Arrow 56" o:spid="_x0000_s1029" type="#_x0000_t67" style="position:absolute;left:0;text-align:left;margin-left:372pt;margin-top:7.85pt;width:4.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" adj="19749" fillcolor="window" strokecolor="#4f81bd" strokeweight="2pt">
                <v:textbox>
                  <w:txbxContent>
                    <w:p w14:paraId="3EBB2305" w14:textId="77777777" w:rsidR="00703566" w:rsidRDefault="00703566" w:rsidP="00703566">
                      <w:pPr>
                        <w:jc w:val="center"/>
                      </w:pPr>
                    </w:p>
                  </w:txbxContent>
                </v:textbox>
              </v:shape>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69504" behindDoc="0" locked="0" layoutInCell="1" allowOverlap="1" wp14:anchorId="76FB35A9" wp14:editId="1E468983">
                <wp:simplePos x="0" y="0"/>
                <wp:positionH relativeFrom="column">
                  <wp:posOffset>1188085</wp:posOffset>
                </wp:positionH>
                <wp:positionV relativeFrom="paragraph">
                  <wp:posOffset>99695</wp:posOffset>
                </wp:positionV>
                <wp:extent cx="57150" cy="333375"/>
                <wp:effectExtent l="19050" t="0" r="38100" b="47625"/>
                <wp:wrapNone/>
                <wp:docPr id="57" name="Down Arrow 57"/>
                <wp:cNvGraphicFramePr/>
                <a:graphic xmlns:a="http://schemas.openxmlformats.org/drawingml/2006/main">
                  <a:graphicData uri="http://schemas.microsoft.com/office/word/2010/wordprocessingShape">
                    <wps:wsp>
                      <wps:cNvSpPr/>
                      <wps:spPr>
                        <a:xfrm>
                          <a:off x="0" y="0"/>
                          <a:ext cx="57150" cy="333375"/>
                        </a:xfrm>
                        <a:prstGeom prst="downArrow">
                          <a:avLst/>
                        </a:prstGeom>
                        <a:solidFill>
                          <a:sysClr val="window" lastClr="FFFFFF"/>
                        </a:solidFill>
                        <a:ln w="12700" cap="flat" cmpd="sng" algn="ctr">
                          <a:solidFill>
                            <a:srgbClr val="549E39"/>
                          </a:solidFill>
                          <a:prstDash val="solid"/>
                          <a:miter lim="800000"/>
                        </a:ln>
                        <a:effectLst/>
                      </wps:spPr>
                      <wps:txbx>
                        <w:txbxContent>
                          <w:p w14:paraId="781C8B06" w14:textId="77777777" w:rsidR="00703566" w:rsidRDefault="00703566" w:rsidP="00703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35A9" id="Down Arrow 57" o:spid="_x0000_s1030" type="#_x0000_t67" style="position:absolute;left:0;text-align:left;margin-left:93.55pt;margin-top:7.85pt;width:4.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" adj="19749" fillcolor="window" strokecolor="#549e39" strokeweight="1pt">
                <v:textbox>
                  <w:txbxContent>
                    <w:p w14:paraId="781C8B06" w14:textId="77777777" w:rsidR="00703566" w:rsidRDefault="00703566" w:rsidP="00703566">
                      <w:pPr>
                        <w:jc w:val="center"/>
                      </w:pPr>
                    </w:p>
                  </w:txbxContent>
                </v:textbox>
              </v:shape>
            </w:pict>
          </mc:Fallback>
        </mc:AlternateContent>
      </w:r>
    </w:p>
    <w:p w14:paraId="7B41437B"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93056" behindDoc="0" locked="0" layoutInCell="1" allowOverlap="1" wp14:anchorId="13162D66" wp14:editId="54D86E7B">
                <wp:simplePos x="0" y="0"/>
                <wp:positionH relativeFrom="column">
                  <wp:posOffset>3505200</wp:posOffset>
                </wp:positionH>
                <wp:positionV relativeFrom="paragraph">
                  <wp:posOffset>31115</wp:posOffset>
                </wp:positionV>
                <wp:extent cx="2466975" cy="600075"/>
                <wp:effectExtent l="133350" t="114300" r="161925" b="161925"/>
                <wp:wrapNone/>
                <wp:docPr id="58" name="Rectangle 58"/>
                <wp:cNvGraphicFramePr/>
                <a:graphic xmlns:a="http://schemas.openxmlformats.org/drawingml/2006/main">
                  <a:graphicData uri="http://schemas.microsoft.com/office/word/2010/wordprocessingShape">
                    <wps:wsp>
                      <wps:cNvSpPr/>
                      <wps:spPr>
                        <a:xfrm>
                          <a:off x="0" y="0"/>
                          <a:ext cx="2466975" cy="600075"/>
                        </a:xfrm>
                        <a:prstGeom prst="rect">
                          <a:avLst/>
                        </a:prstGeom>
                        <a:solidFill>
                          <a:srgbClr val="4AB5C4">
                            <a:lumMod val="60000"/>
                            <a:lumOff val="40000"/>
                          </a:srgb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28872A1" w14:textId="77777777" w:rsidR="00703566" w:rsidRPr="00167731" w:rsidRDefault="00703566" w:rsidP="00703566">
                            <w:pPr>
                              <w:spacing w:line="360" w:lineRule="auto"/>
                              <w:jc w:val="center"/>
                              <w:rPr>
                                <w:rFonts w:ascii="Times New Roman" w:hAnsi="Times New Roman" w:cs="Times New Roman"/>
                                <w:sz w:val="24"/>
                                <w:szCs w:val="24"/>
                              </w:rPr>
                            </w:pPr>
                            <w:r w:rsidRPr="003A7165">
                              <w:rPr>
                                <w:rFonts w:ascii="Times New Roman" w:hAnsi="Times New Roman" w:cs="Times New Roman"/>
                                <w:b/>
                                <w:color w:val="FF0000"/>
                                <w:sz w:val="24"/>
                                <w:szCs w:val="24"/>
                              </w:rPr>
                              <w:t>SAMPLING</w:t>
                            </w:r>
                            <w:r>
                              <w:rPr>
                                <w:rFonts w:ascii="Times New Roman" w:hAnsi="Times New Roman" w:cs="Times New Roman"/>
                                <w:sz w:val="24"/>
                                <w:szCs w:val="24"/>
                              </w:rPr>
                              <w:t>: PURPOSIVE SAMPLING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2D66" id="Rectangle 58" o:spid="_x0000_s1031" style="position:absolute;left:0;text-align:left;margin-left:276pt;margin-top:2.45pt;width:194.25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" fillcolor="#92d3dc" stroked="f" strokeweight="2pt">
                <v:shadow on="t" color="black" offset="0,1pt"/>
                <v:textbox>
                  <w:txbxContent>
                    <w:p w14:paraId="128872A1" w14:textId="77777777" w:rsidR="00703566" w:rsidRPr="00167731" w:rsidRDefault="00703566" w:rsidP="00703566">
                      <w:pPr>
                        <w:spacing w:line="360" w:lineRule="auto"/>
                        <w:jc w:val="center"/>
                        <w:rPr>
                          <w:rFonts w:ascii="Times New Roman" w:hAnsi="Times New Roman" w:cs="Times New Roman"/>
                          <w:sz w:val="24"/>
                          <w:szCs w:val="24"/>
                        </w:rPr>
                      </w:pPr>
                      <w:r w:rsidRPr="003A7165">
                        <w:rPr>
                          <w:rFonts w:ascii="Times New Roman" w:hAnsi="Times New Roman" w:cs="Times New Roman"/>
                          <w:b/>
                          <w:color w:val="FF0000"/>
                          <w:sz w:val="24"/>
                          <w:szCs w:val="24"/>
                        </w:rPr>
                        <w:t>SAMPLING</w:t>
                      </w:r>
                      <w:r>
                        <w:rPr>
                          <w:rFonts w:ascii="Times New Roman" w:hAnsi="Times New Roman" w:cs="Times New Roman"/>
                          <w:sz w:val="24"/>
                          <w:szCs w:val="24"/>
                        </w:rPr>
                        <w:t>: PURPOSIVE SAMPLING METHOD</w:t>
                      </w:r>
                    </w:p>
                  </w:txbxContent>
                </v:textbox>
              </v:rect>
            </w:pict>
          </mc:Fallback>
        </mc:AlternateContent>
      </w:r>
    </w:p>
    <w:p w14:paraId="11C6ACDD"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95104" behindDoc="0" locked="0" layoutInCell="1" allowOverlap="1" wp14:anchorId="0E134904" wp14:editId="14E4DA40">
                <wp:simplePos x="0" y="0"/>
                <wp:positionH relativeFrom="column">
                  <wp:posOffset>4739005</wp:posOffset>
                </wp:positionH>
                <wp:positionV relativeFrom="paragraph">
                  <wp:posOffset>222885</wp:posOffset>
                </wp:positionV>
                <wp:extent cx="45085" cy="257175"/>
                <wp:effectExtent l="19050" t="0" r="31115" b="47625"/>
                <wp:wrapNone/>
                <wp:docPr id="60" name="Down Arrow 60"/>
                <wp:cNvGraphicFramePr/>
                <a:graphic xmlns:a="http://schemas.openxmlformats.org/drawingml/2006/main">
                  <a:graphicData uri="http://schemas.microsoft.com/office/word/2010/wordprocessingShape">
                    <wps:wsp>
                      <wps:cNvSpPr/>
                      <wps:spPr>
                        <a:xfrm>
                          <a:off x="0" y="0"/>
                          <a:ext cx="45085" cy="257175"/>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A5ED" id="Down Arrow 60" o:spid="_x0000_s1026" type="#_x0000_t67" style="position:absolute;margin-left:373.15pt;margin-top:17.55pt;width:3.5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" adj="19707" fillcolor="window" strokecolor="#4f81bd" strokeweight="2p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68480" behindDoc="0" locked="0" layoutInCell="1" allowOverlap="1" wp14:anchorId="2A957AC7" wp14:editId="4394009B">
                <wp:simplePos x="0" y="0"/>
                <wp:positionH relativeFrom="column">
                  <wp:posOffset>1200150</wp:posOffset>
                </wp:positionH>
                <wp:positionV relativeFrom="paragraph">
                  <wp:posOffset>222885</wp:posOffset>
                </wp:positionV>
                <wp:extent cx="45085" cy="257175"/>
                <wp:effectExtent l="19050" t="0" r="31115" b="47625"/>
                <wp:wrapNone/>
                <wp:docPr id="61" name="Down Arrow 61"/>
                <wp:cNvGraphicFramePr/>
                <a:graphic xmlns:a="http://schemas.openxmlformats.org/drawingml/2006/main">
                  <a:graphicData uri="http://schemas.microsoft.com/office/word/2010/wordprocessingShape">
                    <wps:wsp>
                      <wps:cNvSpPr/>
                      <wps:spPr>
                        <a:xfrm>
                          <a:off x="0" y="0"/>
                          <a:ext cx="45085" cy="25717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6F14" id="Down Arrow 61" o:spid="_x0000_s1026" type="#_x0000_t67" style="position:absolute;margin-left:94.5pt;margin-top:17.55pt;width:3.5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" adj="19707" fillcolor="window" strokecolor="#549e39" strokeweight="1pt"/>
            </w:pict>
          </mc:Fallback>
        </mc:AlternateContent>
      </w:r>
    </w:p>
    <w:p w14:paraId="0DE25269"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65408" behindDoc="0" locked="0" layoutInCell="1" allowOverlap="1" wp14:anchorId="1FE80BC2" wp14:editId="2417D5F7">
                <wp:simplePos x="0" y="0"/>
                <wp:positionH relativeFrom="column">
                  <wp:posOffset>-105410</wp:posOffset>
                </wp:positionH>
                <wp:positionV relativeFrom="paragraph">
                  <wp:posOffset>79375</wp:posOffset>
                </wp:positionV>
                <wp:extent cx="6086475" cy="409575"/>
                <wp:effectExtent l="114300" t="133350" r="142875" b="180975"/>
                <wp:wrapNone/>
                <wp:docPr id="62" name="Rectangle 62"/>
                <wp:cNvGraphicFramePr/>
                <a:graphic xmlns:a="http://schemas.openxmlformats.org/drawingml/2006/main">
                  <a:graphicData uri="http://schemas.microsoft.com/office/word/2010/wordprocessingShape">
                    <wps:wsp>
                      <wps:cNvSpPr/>
                      <wps:spPr>
                        <a:xfrm>
                          <a:off x="0" y="0"/>
                          <a:ext cx="6086475" cy="409575"/>
                        </a:xfrm>
                        <a:prstGeom prst="rect">
                          <a:avLst/>
                        </a:prstGeom>
                        <a:solidFill>
                          <a:srgbClr val="FFFF0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6C577AD" w14:textId="77777777" w:rsidR="00703566" w:rsidRPr="00167731" w:rsidRDefault="00703566" w:rsidP="00703566">
                            <w:pPr>
                              <w:spacing w:line="360" w:lineRule="auto"/>
                              <w:jc w:val="center"/>
                              <w:rPr>
                                <w:rFonts w:ascii="Times New Roman" w:hAnsi="Times New Roman" w:cs="Times New Roman"/>
                                <w:sz w:val="24"/>
                                <w:szCs w:val="24"/>
                              </w:rPr>
                            </w:pPr>
                            <w:r w:rsidRPr="00C2027F">
                              <w:rPr>
                                <w:rFonts w:ascii="Times New Roman" w:hAnsi="Times New Roman" w:cs="Times New Roman"/>
                                <w:b/>
                                <w:color w:val="222F28"/>
                                <w:sz w:val="24"/>
                                <w:szCs w:val="24"/>
                              </w:rPr>
                              <w:t>TOOL:</w:t>
                            </w:r>
                            <w:r>
                              <w:rPr>
                                <w:rFonts w:ascii="Times New Roman" w:hAnsi="Times New Roman" w:cs="Times New Roman"/>
                                <w:sz w:val="24"/>
                                <w:szCs w:val="24"/>
                              </w:rPr>
                              <w:t xml:space="preserve"> </w:t>
                            </w:r>
                            <w:r>
                              <w:rPr>
                                <w:rFonts w:ascii="Times New Roman" w:hAnsi="Times New Roman" w:cs="Times New Roman"/>
                                <w:b/>
                                <w:sz w:val="24"/>
                                <w:szCs w:val="24"/>
                              </w:rPr>
                              <w:t>PERSONAL INTERVIEW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80BC2" id="Rectangle 62" o:spid="_x0000_s1032" style="position:absolute;left:0;text-align:left;margin-left:-8.3pt;margin-top:6.25pt;width:479.25pt;height:3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" fillcolor="yellow" stroked="f" strokeweight="1pt">
                <v:shadow on="t" color="black" offset="0,1pt"/>
                <v:textbox>
                  <w:txbxContent>
                    <w:p w14:paraId="46C577AD" w14:textId="77777777" w:rsidR="00703566" w:rsidRPr="00167731" w:rsidRDefault="00703566" w:rsidP="00703566">
                      <w:pPr>
                        <w:spacing w:line="360" w:lineRule="auto"/>
                        <w:jc w:val="center"/>
                        <w:rPr>
                          <w:rFonts w:ascii="Times New Roman" w:hAnsi="Times New Roman" w:cs="Times New Roman"/>
                          <w:sz w:val="24"/>
                          <w:szCs w:val="24"/>
                        </w:rPr>
                      </w:pPr>
                      <w:r w:rsidRPr="00C2027F">
                        <w:rPr>
                          <w:rFonts w:ascii="Times New Roman" w:hAnsi="Times New Roman" w:cs="Times New Roman"/>
                          <w:b/>
                          <w:color w:val="222F28"/>
                          <w:sz w:val="24"/>
                          <w:szCs w:val="24"/>
                        </w:rPr>
                        <w:t>TOOL:</w:t>
                      </w:r>
                      <w:r>
                        <w:rPr>
                          <w:rFonts w:ascii="Times New Roman" w:hAnsi="Times New Roman" w:cs="Times New Roman"/>
                          <w:sz w:val="24"/>
                          <w:szCs w:val="24"/>
                        </w:rPr>
                        <w:t xml:space="preserve"> </w:t>
                      </w:r>
                      <w:r>
                        <w:rPr>
                          <w:rFonts w:ascii="Times New Roman" w:hAnsi="Times New Roman" w:cs="Times New Roman"/>
                          <w:b/>
                          <w:sz w:val="24"/>
                          <w:szCs w:val="24"/>
                        </w:rPr>
                        <w:t>PERSONAL INTERVIEW SCHEDULE</w:t>
                      </w:r>
                    </w:p>
                  </w:txbxContent>
                </v:textbox>
              </v:rect>
            </w:pict>
          </mc:Fallback>
        </mc:AlternateContent>
      </w:r>
    </w:p>
    <w:p w14:paraId="3E803B7E"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76672" behindDoc="0" locked="0" layoutInCell="1" allowOverlap="1" wp14:anchorId="417818F5" wp14:editId="376239A2">
                <wp:simplePos x="0" y="0"/>
                <wp:positionH relativeFrom="column">
                  <wp:posOffset>5295900</wp:posOffset>
                </wp:positionH>
                <wp:positionV relativeFrom="paragraph">
                  <wp:posOffset>389890</wp:posOffset>
                </wp:positionV>
                <wp:extent cx="57150" cy="333375"/>
                <wp:effectExtent l="19050" t="0" r="38100" b="47625"/>
                <wp:wrapNone/>
                <wp:docPr id="297" name="Down Arrow 297"/>
                <wp:cNvGraphicFramePr/>
                <a:graphic xmlns:a="http://schemas.openxmlformats.org/drawingml/2006/main">
                  <a:graphicData uri="http://schemas.microsoft.com/office/word/2010/wordprocessingShape">
                    <wps:wsp>
                      <wps:cNvSpPr/>
                      <wps:spPr>
                        <a:xfrm>
                          <a:off x="0" y="0"/>
                          <a:ext cx="57150" cy="33337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F691DD" id="Down Arrow 297" o:spid="_x0000_s1026" type="#_x0000_t67" style="position:absolute;margin-left:417pt;margin-top:30.7pt;width:4.5pt;height:26.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" adj="19749" fillcolor="window" strokecolor="#549e39" strokeweight="1p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96128" behindDoc="0" locked="0" layoutInCell="1" allowOverlap="1" wp14:anchorId="4E49D265" wp14:editId="01193EAB">
                <wp:simplePos x="0" y="0"/>
                <wp:positionH relativeFrom="column">
                  <wp:posOffset>2276475</wp:posOffset>
                </wp:positionH>
                <wp:positionV relativeFrom="paragraph">
                  <wp:posOffset>215900</wp:posOffset>
                </wp:positionV>
                <wp:extent cx="1323975" cy="314325"/>
                <wp:effectExtent l="57150" t="38100" r="85725" b="104775"/>
                <wp:wrapNone/>
                <wp:docPr id="63" name="Rectangle 63"/>
                <wp:cNvGraphicFramePr/>
                <a:graphic xmlns:a="http://schemas.openxmlformats.org/drawingml/2006/main">
                  <a:graphicData uri="http://schemas.microsoft.com/office/word/2010/wordprocessingShape">
                    <wps:wsp>
                      <wps:cNvSpPr/>
                      <wps:spPr>
                        <a:xfrm>
                          <a:off x="0" y="0"/>
                          <a:ext cx="1323975" cy="314325"/>
                        </a:xfrm>
                        <a:prstGeom prst="rect">
                          <a:avLst/>
                        </a:prstGeom>
                        <a:gradFill rotWithShape="1">
                          <a:gsLst>
                            <a:gs pos="0">
                              <a:srgbClr val="0989B1">
                                <a:lumMod val="110000"/>
                                <a:satMod val="105000"/>
                                <a:tint val="67000"/>
                              </a:srgbClr>
                            </a:gs>
                            <a:gs pos="50000">
                              <a:srgbClr val="0989B1">
                                <a:lumMod val="105000"/>
                                <a:satMod val="103000"/>
                                <a:tint val="73000"/>
                              </a:srgbClr>
                            </a:gs>
                            <a:gs pos="100000">
                              <a:srgbClr val="0989B1">
                                <a:lumMod val="105000"/>
                                <a:satMod val="109000"/>
                                <a:tint val="81000"/>
                              </a:srgbClr>
                            </a:gs>
                          </a:gsLst>
                          <a:lin ang="5400000" scaled="0"/>
                        </a:gradFill>
                        <a:ln w="6350" cap="flat" cmpd="sng" algn="ctr">
                          <a:solidFill>
                            <a:srgbClr val="0989B1"/>
                          </a:solidFill>
                          <a:prstDash val="solid"/>
                          <a:miter lim="800000"/>
                        </a:ln>
                        <a:effectLst/>
                      </wps:spPr>
                      <wps:txbx>
                        <w:txbxContent>
                          <w:p w14:paraId="5ED6B3F7" w14:textId="77777777" w:rsidR="00703566" w:rsidRPr="00E1109B" w:rsidRDefault="00703566" w:rsidP="00703566">
                            <w:pPr>
                              <w:jc w:val="center"/>
                              <w:rPr>
                                <w:rFonts w:ascii="Times New Roman" w:hAnsi="Times New Roman" w:cs="Times New Roman"/>
                                <w:b/>
                                <w:color w:val="C00000"/>
                                <w:sz w:val="32"/>
                                <w:szCs w:val="32"/>
                              </w:rPr>
                            </w:pPr>
                            <w:r w:rsidRPr="00E1109B">
                              <w:rPr>
                                <w:rFonts w:ascii="Times New Roman" w:hAnsi="Times New Roman" w:cs="Times New Roman"/>
                                <w:b/>
                                <w:color w:val="C00000"/>
                                <w:sz w:val="32"/>
                                <w:szCs w:val="32"/>
                              </w:rPr>
                              <w:t>METHO</w:t>
                            </w:r>
                            <w:r w:rsidRPr="00975EF0">
                              <w:rPr>
                                <w:rFonts w:ascii="Times New Roman" w:hAnsi="Times New Roman" w:cs="Times New Roman"/>
                                <w:b/>
                                <w:color w:val="C00000"/>
                                <w:sz w:val="32"/>
                                <w:szCs w:val="32"/>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9D265" id="Rectangle 63" o:spid="_x0000_s1033" style="position:absolute;left:0;text-align:left;margin-left:179.25pt;margin-top:17pt;width:104.2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" fillcolor="#9cc3dc" strokecolor="#0989b1" strokeweight=".5pt">
                <v:fill color2="#79afcf" rotate="t" colors="0 #9cc3dc;.5 #8eb8d1;1 #79afcf" focus="100%" type="gradient">
                  <o:fill v:ext="view" type="gradientUnscaled"/>
                </v:fill>
                <v:textbox>
                  <w:txbxContent>
                    <w:p w14:paraId="5ED6B3F7" w14:textId="77777777" w:rsidR="00703566" w:rsidRPr="00E1109B" w:rsidRDefault="00703566" w:rsidP="00703566">
                      <w:pPr>
                        <w:jc w:val="center"/>
                        <w:rPr>
                          <w:rFonts w:ascii="Times New Roman" w:hAnsi="Times New Roman" w:cs="Times New Roman"/>
                          <w:b/>
                          <w:color w:val="C00000"/>
                          <w:sz w:val="32"/>
                          <w:szCs w:val="32"/>
                        </w:rPr>
                      </w:pPr>
                      <w:r w:rsidRPr="00E1109B">
                        <w:rPr>
                          <w:rFonts w:ascii="Times New Roman" w:hAnsi="Times New Roman" w:cs="Times New Roman"/>
                          <w:b/>
                          <w:color w:val="C00000"/>
                          <w:sz w:val="32"/>
                          <w:szCs w:val="32"/>
                        </w:rPr>
                        <w:t>METHO</w:t>
                      </w:r>
                      <w:r w:rsidRPr="00975EF0">
                        <w:rPr>
                          <w:rFonts w:ascii="Times New Roman" w:hAnsi="Times New Roman" w:cs="Times New Roman"/>
                          <w:b/>
                          <w:color w:val="C00000"/>
                          <w:sz w:val="32"/>
                          <w:szCs w:val="32"/>
                        </w:rPr>
                        <w:t>DS</w:t>
                      </w:r>
                    </w:p>
                  </w:txbxContent>
                </v:textbox>
              </v:rec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75648" behindDoc="0" locked="0" layoutInCell="1" allowOverlap="1" wp14:anchorId="4085CEA8" wp14:editId="6855E722">
                <wp:simplePos x="0" y="0"/>
                <wp:positionH relativeFrom="column">
                  <wp:posOffset>2933700</wp:posOffset>
                </wp:positionH>
                <wp:positionV relativeFrom="paragraph">
                  <wp:posOffset>396875</wp:posOffset>
                </wp:positionV>
                <wp:extent cx="57150" cy="333375"/>
                <wp:effectExtent l="19050" t="0" r="38100" b="47625"/>
                <wp:wrapNone/>
                <wp:docPr id="288" name="Down Arrow 288"/>
                <wp:cNvGraphicFramePr/>
                <a:graphic xmlns:a="http://schemas.openxmlformats.org/drawingml/2006/main">
                  <a:graphicData uri="http://schemas.microsoft.com/office/word/2010/wordprocessingShape">
                    <wps:wsp>
                      <wps:cNvSpPr/>
                      <wps:spPr>
                        <a:xfrm>
                          <a:off x="0" y="0"/>
                          <a:ext cx="57150" cy="33337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80DD1E" id="Down Arrow 288" o:spid="_x0000_s1026" type="#_x0000_t67" style="position:absolute;margin-left:231pt;margin-top:31.25pt;width:4.5pt;height:26.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" adj="19749" fillcolor="window" strokecolor="#549e39" strokeweight="1p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74624" behindDoc="0" locked="0" layoutInCell="1" allowOverlap="1" wp14:anchorId="4291026E" wp14:editId="50171232">
                <wp:simplePos x="0" y="0"/>
                <wp:positionH relativeFrom="column">
                  <wp:posOffset>809625</wp:posOffset>
                </wp:positionH>
                <wp:positionV relativeFrom="paragraph">
                  <wp:posOffset>396875</wp:posOffset>
                </wp:positionV>
                <wp:extent cx="57150" cy="333375"/>
                <wp:effectExtent l="19050" t="0" r="38100" b="47625"/>
                <wp:wrapNone/>
                <wp:docPr id="289" name="Down Arrow 289"/>
                <wp:cNvGraphicFramePr/>
                <a:graphic xmlns:a="http://schemas.openxmlformats.org/drawingml/2006/main">
                  <a:graphicData uri="http://schemas.microsoft.com/office/word/2010/wordprocessingShape">
                    <wps:wsp>
                      <wps:cNvSpPr/>
                      <wps:spPr>
                        <a:xfrm>
                          <a:off x="0" y="0"/>
                          <a:ext cx="57150" cy="33337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41FA6D" id="Down Arrow 289" o:spid="_x0000_s1026" type="#_x0000_t67" style="position:absolute;margin-left:63.75pt;margin-top:31.25pt;width:4.5pt;height:26.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" adj="19749" fillcolor="window" strokecolor="#549e39" strokeweight="1p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73600" behindDoc="0" locked="0" layoutInCell="1" allowOverlap="1" wp14:anchorId="2021F902" wp14:editId="525A8A55">
                <wp:simplePos x="0" y="0"/>
                <wp:positionH relativeFrom="column">
                  <wp:posOffset>809625</wp:posOffset>
                </wp:positionH>
                <wp:positionV relativeFrom="paragraph">
                  <wp:posOffset>396875</wp:posOffset>
                </wp:positionV>
                <wp:extent cx="4543425" cy="0"/>
                <wp:effectExtent l="38100" t="38100" r="66675" b="95250"/>
                <wp:wrapNone/>
                <wp:docPr id="291" name="Straight Connector 291"/>
                <wp:cNvGraphicFramePr/>
                <a:graphic xmlns:a="http://schemas.openxmlformats.org/drawingml/2006/main">
                  <a:graphicData uri="http://schemas.microsoft.com/office/word/2010/wordprocessingShape">
                    <wps:wsp>
                      <wps:cNvCnPr/>
                      <wps:spPr>
                        <a:xfrm>
                          <a:off x="0" y="0"/>
                          <a:ext cx="4543425" cy="0"/>
                        </a:xfrm>
                        <a:prstGeom prst="line">
                          <a:avLst/>
                        </a:prstGeom>
                        <a:noFill/>
                        <a:ln w="12700" cap="flat" cmpd="sng" algn="ctr">
                          <a:solidFill>
                            <a:srgbClr val="4AB5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2CA559" id="Straight Connector 29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31.25pt" to="421.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" strokecolor="#4ab5c4" strokeweight="1pt">
                <v:stroke joinstyle="miter"/>
              </v:line>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67456" behindDoc="0" locked="0" layoutInCell="1" allowOverlap="1" wp14:anchorId="7679B917" wp14:editId="36BE9BDF">
                <wp:simplePos x="0" y="0"/>
                <wp:positionH relativeFrom="column">
                  <wp:posOffset>2933700</wp:posOffset>
                </wp:positionH>
                <wp:positionV relativeFrom="paragraph">
                  <wp:posOffset>60325</wp:posOffset>
                </wp:positionV>
                <wp:extent cx="57150" cy="333375"/>
                <wp:effectExtent l="19050" t="0" r="38100" b="47625"/>
                <wp:wrapNone/>
                <wp:docPr id="292" name="Down Arrow 292"/>
                <wp:cNvGraphicFramePr/>
                <a:graphic xmlns:a="http://schemas.openxmlformats.org/drawingml/2006/main">
                  <a:graphicData uri="http://schemas.microsoft.com/office/word/2010/wordprocessingShape">
                    <wps:wsp>
                      <wps:cNvSpPr/>
                      <wps:spPr>
                        <a:xfrm>
                          <a:off x="0" y="0"/>
                          <a:ext cx="57150" cy="33337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21C532" id="Down Arrow 292" o:spid="_x0000_s1026" type="#_x0000_t67" style="position:absolute;margin-left:231pt;margin-top:4.75pt;width:4.5pt;height:2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" adj="19749" fillcolor="window" strokecolor="#549e39" strokeweight="1pt"/>
            </w:pict>
          </mc:Fallback>
        </mc:AlternateContent>
      </w:r>
    </w:p>
    <w:p w14:paraId="58773733" w14:textId="77777777" w:rsidR="00703566" w:rsidRPr="00703566" w:rsidRDefault="00703566" w:rsidP="00703566">
      <w:pPr>
        <w:tabs>
          <w:tab w:val="left" w:pos="750"/>
        </w:tabs>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71552" behindDoc="0" locked="0" layoutInCell="1" allowOverlap="1" wp14:anchorId="496E7EDF" wp14:editId="2F060814">
                <wp:simplePos x="0" y="0"/>
                <wp:positionH relativeFrom="column">
                  <wp:posOffset>4903470</wp:posOffset>
                </wp:positionH>
                <wp:positionV relativeFrom="paragraph">
                  <wp:posOffset>281940</wp:posOffset>
                </wp:positionV>
                <wp:extent cx="1596390" cy="868680"/>
                <wp:effectExtent l="133350" t="133350" r="137160" b="160020"/>
                <wp:wrapNone/>
                <wp:docPr id="296" name="Rounded Rectangle 296"/>
                <wp:cNvGraphicFramePr/>
                <a:graphic xmlns:a="http://schemas.openxmlformats.org/drawingml/2006/main">
                  <a:graphicData uri="http://schemas.microsoft.com/office/word/2010/wordprocessingShape">
                    <wps:wsp>
                      <wps:cNvSpPr/>
                      <wps:spPr>
                        <a:xfrm>
                          <a:off x="0" y="0"/>
                          <a:ext cx="1596390" cy="868680"/>
                        </a:xfrm>
                        <a:prstGeom prst="roundRect">
                          <a:avLst/>
                        </a:prstGeom>
                        <a:solidFill>
                          <a:srgbClr val="92D05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DB84DCE"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PSYCHOLOGICAL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E7EDF" id="Rounded Rectangle 296" o:spid="_x0000_s1034" style="position:absolute;left:0;text-align:left;margin-left:386.1pt;margin-top:22.2pt;width:125.7pt;height:6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" fillcolor="#92d050" stroked="f" strokeweight="1pt">
                <v:stroke joinstyle="miter"/>
                <v:shadow on="t" color="black" offset="0,1pt"/>
                <v:textbox>
                  <w:txbxContent>
                    <w:p w14:paraId="6DB84DCE"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PSYCHOLOGICAL ASSESSMENT</w:t>
                      </w:r>
                    </w:p>
                  </w:txbxContent>
                </v:textbox>
              </v:roundrec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70528" behindDoc="0" locked="0" layoutInCell="1" allowOverlap="1" wp14:anchorId="1570C3A8" wp14:editId="220EB616">
                <wp:simplePos x="0" y="0"/>
                <wp:positionH relativeFrom="column">
                  <wp:posOffset>-41910</wp:posOffset>
                </wp:positionH>
                <wp:positionV relativeFrom="paragraph">
                  <wp:posOffset>297180</wp:posOffset>
                </wp:positionV>
                <wp:extent cx="1741170" cy="962025"/>
                <wp:effectExtent l="133350" t="133350" r="125730" b="161925"/>
                <wp:wrapNone/>
                <wp:docPr id="294" name="Rounded Rectangle 294"/>
                <wp:cNvGraphicFramePr/>
                <a:graphic xmlns:a="http://schemas.openxmlformats.org/drawingml/2006/main">
                  <a:graphicData uri="http://schemas.microsoft.com/office/word/2010/wordprocessingShape">
                    <wps:wsp>
                      <wps:cNvSpPr/>
                      <wps:spPr>
                        <a:xfrm>
                          <a:off x="0" y="0"/>
                          <a:ext cx="1741170" cy="962025"/>
                        </a:xfrm>
                        <a:prstGeom prst="roundRect">
                          <a:avLst/>
                        </a:prstGeom>
                        <a:solidFill>
                          <a:srgbClr val="455F51">
                            <a:lumMod val="60000"/>
                            <a:lumOff val="40000"/>
                          </a:srgb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5135B7D"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SOCIO-ECONOMIC DEMOGRAPHIC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0C3A8" id="Rounded Rectangle 294" o:spid="_x0000_s1035" style="position:absolute;left:0;text-align:left;margin-left:-3.3pt;margin-top:23.4pt;width:137.1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" fillcolor="#87a896" stroked="f" strokeweight="1pt">
                <v:stroke joinstyle="miter"/>
                <v:shadow on="t" color="black" offset="0,1pt"/>
                <v:textbox>
                  <w:txbxContent>
                    <w:p w14:paraId="25135B7D"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SOCIO-ECONOMIC DEMOGRAPHIC PROFILE</w:t>
                      </w:r>
                    </w:p>
                  </w:txbxContent>
                </v:textbox>
              </v:roundrec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72576" behindDoc="0" locked="0" layoutInCell="1" allowOverlap="1" wp14:anchorId="296C2A5B" wp14:editId="35A1C006">
                <wp:simplePos x="0" y="0"/>
                <wp:positionH relativeFrom="column">
                  <wp:posOffset>1981200</wp:posOffset>
                </wp:positionH>
                <wp:positionV relativeFrom="paragraph">
                  <wp:posOffset>297180</wp:posOffset>
                </wp:positionV>
                <wp:extent cx="1356360" cy="962025"/>
                <wp:effectExtent l="133350" t="133350" r="129540" b="161925"/>
                <wp:wrapNone/>
                <wp:docPr id="295" name="Rounded Rectangle 295"/>
                <wp:cNvGraphicFramePr/>
                <a:graphic xmlns:a="http://schemas.openxmlformats.org/drawingml/2006/main">
                  <a:graphicData uri="http://schemas.microsoft.com/office/word/2010/wordprocessingShape">
                    <wps:wsp>
                      <wps:cNvSpPr/>
                      <wps:spPr>
                        <a:xfrm>
                          <a:off x="0" y="0"/>
                          <a:ext cx="1356360" cy="962025"/>
                        </a:xfrm>
                        <a:prstGeom prst="roundRect">
                          <a:avLst/>
                        </a:prstGeom>
                        <a:solidFill>
                          <a:srgbClr val="0989B1">
                            <a:lumMod val="60000"/>
                            <a:lumOff val="40000"/>
                          </a:srgb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C82D14C"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NUTRITIONAL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C2A5B" id="Rounded Rectangle 295" o:spid="_x0000_s1036" style="position:absolute;left:0;text-align:left;margin-left:156pt;margin-top:23.4pt;width:106.8pt;height:7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" fillcolor="#46ccf6" stroked="f" strokeweight="1pt">
                <v:stroke joinstyle="miter"/>
                <v:shadow on="t" color="black" offset="0,1pt"/>
                <v:textbox>
                  <w:txbxContent>
                    <w:p w14:paraId="6C82D14C"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NUTRITIONAL PROFILE</w:t>
                      </w:r>
                    </w:p>
                  </w:txbxContent>
                </v:textbox>
              </v:roundrec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80768" behindDoc="0" locked="0" layoutInCell="1" allowOverlap="1" wp14:anchorId="19506D4A" wp14:editId="3D7D71D2">
                <wp:simplePos x="0" y="0"/>
                <wp:positionH relativeFrom="column">
                  <wp:posOffset>3478530</wp:posOffset>
                </wp:positionH>
                <wp:positionV relativeFrom="paragraph">
                  <wp:posOffset>342900</wp:posOffset>
                </wp:positionV>
                <wp:extent cx="1234440" cy="925830"/>
                <wp:effectExtent l="133350" t="133350" r="137160" b="160020"/>
                <wp:wrapNone/>
                <wp:docPr id="299" name="Rounded Rectangle 299"/>
                <wp:cNvGraphicFramePr/>
                <a:graphic xmlns:a="http://schemas.openxmlformats.org/drawingml/2006/main">
                  <a:graphicData uri="http://schemas.microsoft.com/office/word/2010/wordprocessingShape">
                    <wps:wsp>
                      <wps:cNvSpPr/>
                      <wps:spPr>
                        <a:xfrm>
                          <a:off x="0" y="0"/>
                          <a:ext cx="1234440" cy="925830"/>
                        </a:xfrm>
                        <a:prstGeom prst="roundRect">
                          <a:avLst/>
                        </a:prstGeom>
                        <a:solidFill>
                          <a:srgbClr val="4AB5C4"/>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4D76EAD"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 xml:space="preserve"> HEALTH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06D4A" id="Rounded Rectangle 299" o:spid="_x0000_s1037" style="position:absolute;left:0;text-align:left;margin-left:273.9pt;margin-top:27pt;width:97.2pt;height:7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" fillcolor="#4ab5c4" stroked="f" strokeweight="1pt">
                <v:stroke joinstyle="miter"/>
                <v:shadow on="t" color="black" offset="0,1pt"/>
                <v:textbox>
                  <w:txbxContent>
                    <w:p w14:paraId="44D76EAD"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 xml:space="preserve"> HEALTH PROFILE</w:t>
                      </w:r>
                    </w:p>
                  </w:txbxContent>
                </v:textbox>
              </v:roundrec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83840" behindDoc="0" locked="0" layoutInCell="1" allowOverlap="1" wp14:anchorId="10845923" wp14:editId="405C5102">
                <wp:simplePos x="0" y="0"/>
                <wp:positionH relativeFrom="column">
                  <wp:posOffset>4069080</wp:posOffset>
                </wp:positionH>
                <wp:positionV relativeFrom="paragraph">
                  <wp:posOffset>19050</wp:posOffset>
                </wp:positionV>
                <wp:extent cx="118110" cy="502920"/>
                <wp:effectExtent l="19050" t="0" r="34290" b="30480"/>
                <wp:wrapNone/>
                <wp:docPr id="293" name="Down Arrow 293"/>
                <wp:cNvGraphicFramePr/>
                <a:graphic xmlns:a="http://schemas.openxmlformats.org/drawingml/2006/main">
                  <a:graphicData uri="http://schemas.microsoft.com/office/word/2010/wordprocessingShape">
                    <wps:wsp>
                      <wps:cNvSpPr/>
                      <wps:spPr>
                        <a:xfrm>
                          <a:off x="0" y="0"/>
                          <a:ext cx="118110" cy="502920"/>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F31F0" id="Down Arrow 293" o:spid="_x0000_s1026" type="#_x0000_t67" style="position:absolute;margin-left:320.4pt;margin-top:1.5pt;width:9.3pt;height:3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" adj="19064" fillcolor="window" strokecolor="#549e39" strokeweight="1pt"/>
            </w:pict>
          </mc:Fallback>
        </mc:AlternateContent>
      </w:r>
      <w:r w:rsidRPr="00703566">
        <w:rPr>
          <w:rFonts w:ascii="Times New Roman" w:eastAsia="Times New Roman" w:hAnsi="Times New Roman" w:cs="Times New Roman"/>
          <w:b/>
          <w:sz w:val="28"/>
          <w:szCs w:val="24"/>
          <w:lang w:val="en-GB"/>
        </w:rPr>
        <w:tab/>
      </w:r>
    </w:p>
    <w:p w14:paraId="708D84FA"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p>
    <w:p w14:paraId="003368C7"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p>
    <w:p w14:paraId="4F475ACE"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82816" behindDoc="0" locked="0" layoutInCell="1" allowOverlap="1" wp14:anchorId="309C8388" wp14:editId="7F6ECF05">
                <wp:simplePos x="0" y="0"/>
                <wp:positionH relativeFrom="column">
                  <wp:posOffset>2977515</wp:posOffset>
                </wp:positionH>
                <wp:positionV relativeFrom="paragraph">
                  <wp:posOffset>53340</wp:posOffset>
                </wp:positionV>
                <wp:extent cx="45085" cy="1381125"/>
                <wp:effectExtent l="19050" t="0" r="31115" b="47625"/>
                <wp:wrapNone/>
                <wp:docPr id="298" name="Down Arrow 298"/>
                <wp:cNvGraphicFramePr/>
                <a:graphic xmlns:a="http://schemas.openxmlformats.org/drawingml/2006/main">
                  <a:graphicData uri="http://schemas.microsoft.com/office/word/2010/wordprocessingShape">
                    <wps:wsp>
                      <wps:cNvSpPr/>
                      <wps:spPr>
                        <a:xfrm>
                          <a:off x="0" y="0"/>
                          <a:ext cx="45085" cy="138112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47BF" id="Down Arrow 298" o:spid="_x0000_s1026" type="#_x0000_t67" style="position:absolute;margin-left:234.45pt;margin-top:4.2pt;width:3.55pt;height:10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" adj="21247" fillcolor="window" strokecolor="#549e39" strokeweight="1pt"/>
            </w:pict>
          </mc:Fallback>
        </mc:AlternateContent>
      </w:r>
    </w:p>
    <w:p w14:paraId="7F7379BC"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p>
    <w:p w14:paraId="0C1214EA"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p>
    <w:p w14:paraId="2CB912FA"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86912" behindDoc="0" locked="0" layoutInCell="1" allowOverlap="1" wp14:anchorId="5908F21E" wp14:editId="473D5A1D">
                <wp:simplePos x="0" y="0"/>
                <wp:positionH relativeFrom="column">
                  <wp:posOffset>5250815</wp:posOffset>
                </wp:positionH>
                <wp:positionV relativeFrom="paragraph">
                  <wp:posOffset>228600</wp:posOffset>
                </wp:positionV>
                <wp:extent cx="45085" cy="200025"/>
                <wp:effectExtent l="19050" t="0" r="31115" b="47625"/>
                <wp:wrapNone/>
                <wp:docPr id="302" name="Down Arrow 302"/>
                <wp:cNvGraphicFramePr/>
                <a:graphic xmlns:a="http://schemas.openxmlformats.org/drawingml/2006/main">
                  <a:graphicData uri="http://schemas.microsoft.com/office/word/2010/wordprocessingShape">
                    <wps:wsp>
                      <wps:cNvSpPr/>
                      <wps:spPr>
                        <a:xfrm>
                          <a:off x="0" y="0"/>
                          <a:ext cx="45085" cy="20002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90C83" id="Down Arrow 302" o:spid="_x0000_s1026" type="#_x0000_t67" style="position:absolute;margin-left:413.45pt;margin-top:18pt;width:3.5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" adj="19166" fillcolor="window" strokecolor="#549e39" strokeweight="1p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85888" behindDoc="0" locked="0" layoutInCell="1" allowOverlap="1" wp14:anchorId="17B6F5FC" wp14:editId="61078A27">
                <wp:simplePos x="0" y="0"/>
                <wp:positionH relativeFrom="column">
                  <wp:posOffset>2964815</wp:posOffset>
                </wp:positionH>
                <wp:positionV relativeFrom="paragraph">
                  <wp:posOffset>228600</wp:posOffset>
                </wp:positionV>
                <wp:extent cx="45085" cy="200025"/>
                <wp:effectExtent l="19050" t="0" r="31115" b="47625"/>
                <wp:wrapNone/>
                <wp:docPr id="303" name="Down Arrow 303"/>
                <wp:cNvGraphicFramePr/>
                <a:graphic xmlns:a="http://schemas.openxmlformats.org/drawingml/2006/main">
                  <a:graphicData uri="http://schemas.microsoft.com/office/word/2010/wordprocessingShape">
                    <wps:wsp>
                      <wps:cNvSpPr/>
                      <wps:spPr>
                        <a:xfrm>
                          <a:off x="0" y="0"/>
                          <a:ext cx="45085" cy="20002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8C02" id="Down Arrow 303" o:spid="_x0000_s1026" type="#_x0000_t67" style="position:absolute;margin-left:233.45pt;margin-top:18pt;width:3.5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" adj="19166" fillcolor="window" strokecolor="#549e39" strokeweight="1p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81792" behindDoc="0" locked="0" layoutInCell="1" allowOverlap="1" wp14:anchorId="794BF08D" wp14:editId="7158511F">
                <wp:simplePos x="0" y="0"/>
                <wp:positionH relativeFrom="column">
                  <wp:posOffset>762000</wp:posOffset>
                </wp:positionH>
                <wp:positionV relativeFrom="paragraph">
                  <wp:posOffset>228600</wp:posOffset>
                </wp:positionV>
                <wp:extent cx="45085" cy="200025"/>
                <wp:effectExtent l="19050" t="0" r="31115" b="47625"/>
                <wp:wrapNone/>
                <wp:docPr id="304" name="Down Arrow 304"/>
                <wp:cNvGraphicFramePr/>
                <a:graphic xmlns:a="http://schemas.openxmlformats.org/drawingml/2006/main">
                  <a:graphicData uri="http://schemas.microsoft.com/office/word/2010/wordprocessingShape">
                    <wps:wsp>
                      <wps:cNvSpPr/>
                      <wps:spPr>
                        <a:xfrm>
                          <a:off x="0" y="0"/>
                          <a:ext cx="45085" cy="20002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7C46" id="Down Arrow 304" o:spid="_x0000_s1026" type="#_x0000_t67" style="position:absolute;margin-left:60pt;margin-top:18pt;width:3.5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" adj="19166" fillcolor="window" strokecolor="#549e39" strokeweight="1p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84864" behindDoc="0" locked="0" layoutInCell="1" allowOverlap="1" wp14:anchorId="642D14DC" wp14:editId="30862CD7">
                <wp:simplePos x="0" y="0"/>
                <wp:positionH relativeFrom="column">
                  <wp:posOffset>752475</wp:posOffset>
                </wp:positionH>
                <wp:positionV relativeFrom="paragraph">
                  <wp:posOffset>228600</wp:posOffset>
                </wp:positionV>
                <wp:extent cx="4543425" cy="0"/>
                <wp:effectExtent l="38100" t="38100" r="66675" b="95250"/>
                <wp:wrapNone/>
                <wp:docPr id="305" name="Straight Connector 305"/>
                <wp:cNvGraphicFramePr/>
                <a:graphic xmlns:a="http://schemas.openxmlformats.org/drawingml/2006/main">
                  <a:graphicData uri="http://schemas.microsoft.com/office/word/2010/wordprocessingShape">
                    <wps:wsp>
                      <wps:cNvCnPr/>
                      <wps:spPr>
                        <a:xfrm>
                          <a:off x="0" y="0"/>
                          <a:ext cx="4543425" cy="0"/>
                        </a:xfrm>
                        <a:prstGeom prst="line">
                          <a:avLst/>
                        </a:prstGeom>
                        <a:noFill/>
                        <a:ln w="12700" cap="flat" cmpd="sng" algn="ctr">
                          <a:solidFill>
                            <a:srgbClr val="4AB5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8D1BBC" id="Straight Connector 30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18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" strokecolor="#4ab5c4" strokeweight="1pt">
                <v:stroke joinstyle="miter"/>
              </v:line>
            </w:pict>
          </mc:Fallback>
        </mc:AlternateContent>
      </w:r>
    </w:p>
    <w:p w14:paraId="5319BC9D"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77696" behindDoc="0" locked="0" layoutInCell="1" allowOverlap="1" wp14:anchorId="267303AE" wp14:editId="2561004E">
                <wp:simplePos x="0" y="0"/>
                <wp:positionH relativeFrom="column">
                  <wp:posOffset>4324350</wp:posOffset>
                </wp:positionH>
                <wp:positionV relativeFrom="paragraph">
                  <wp:posOffset>20320</wp:posOffset>
                </wp:positionV>
                <wp:extent cx="1781175" cy="962025"/>
                <wp:effectExtent l="114300" t="114300" r="142875" b="161925"/>
                <wp:wrapNone/>
                <wp:docPr id="306" name="Rounded Rectangle 306"/>
                <wp:cNvGraphicFramePr/>
                <a:graphic xmlns:a="http://schemas.openxmlformats.org/drawingml/2006/main">
                  <a:graphicData uri="http://schemas.microsoft.com/office/word/2010/wordprocessingShape">
                    <wps:wsp>
                      <wps:cNvSpPr/>
                      <wps:spPr>
                        <a:xfrm>
                          <a:off x="0" y="0"/>
                          <a:ext cx="1781175" cy="962025"/>
                        </a:xfrm>
                        <a:prstGeom prst="roundRect">
                          <a:avLst/>
                        </a:prstGeom>
                        <a:solidFill>
                          <a:srgbClr val="00B0F0"/>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455C51C" w14:textId="77777777" w:rsidR="00703566" w:rsidRPr="00C2027F" w:rsidRDefault="00703566" w:rsidP="00703566">
                            <w:pPr>
                              <w:spacing w:line="360" w:lineRule="auto"/>
                              <w:jc w:val="center"/>
                              <w:rPr>
                                <w:rFonts w:ascii="Times New Roman" w:hAnsi="Times New Roman" w:cs="Times New Roman"/>
                                <w:color w:val="000000"/>
                                <w:sz w:val="24"/>
                                <w:lang w:val="en-US"/>
                              </w:rPr>
                            </w:pPr>
                            <w:r w:rsidRPr="00C2027F">
                              <w:rPr>
                                <w:rFonts w:ascii="Times New Roman" w:hAnsi="Times New Roman" w:cs="Times New Roman"/>
                                <w:color w:val="000000"/>
                                <w:sz w:val="24"/>
                                <w:lang w:val="en-US"/>
                              </w:rPr>
                              <w:t xml:space="preserve">MINI NUTRITIONAL 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7303AE" id="Rounded Rectangle 306" o:spid="_x0000_s1038" style="position:absolute;left:0;text-align:left;margin-left:340.5pt;margin-top:1.6pt;width:140.25pt;height:7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" fillcolor="#00b0f0" stroked="f" strokeweight="1pt">
                <v:stroke joinstyle="miter"/>
                <v:shadow on="t" color="black" offset="0,1pt"/>
                <v:textbox>
                  <w:txbxContent>
                    <w:p w14:paraId="6455C51C" w14:textId="77777777" w:rsidR="00703566" w:rsidRPr="00C2027F" w:rsidRDefault="00703566" w:rsidP="00703566">
                      <w:pPr>
                        <w:spacing w:line="360" w:lineRule="auto"/>
                        <w:jc w:val="center"/>
                        <w:rPr>
                          <w:rFonts w:ascii="Times New Roman" w:hAnsi="Times New Roman" w:cs="Times New Roman"/>
                          <w:color w:val="000000"/>
                          <w:sz w:val="24"/>
                          <w:lang w:val="en-US"/>
                        </w:rPr>
                      </w:pPr>
                      <w:r w:rsidRPr="00C2027F">
                        <w:rPr>
                          <w:rFonts w:ascii="Times New Roman" w:hAnsi="Times New Roman" w:cs="Times New Roman"/>
                          <w:color w:val="000000"/>
                          <w:sz w:val="24"/>
                          <w:lang w:val="en-US"/>
                        </w:rPr>
                        <w:t xml:space="preserve">MINI NUTRITIONAL ASSESSMENT </w:t>
                      </w:r>
                    </w:p>
                  </w:txbxContent>
                </v:textbox>
              </v:roundrec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79744" behindDoc="0" locked="0" layoutInCell="1" allowOverlap="1" wp14:anchorId="15557EDD" wp14:editId="0BF0A58D">
                <wp:simplePos x="0" y="0"/>
                <wp:positionH relativeFrom="column">
                  <wp:posOffset>-57150</wp:posOffset>
                </wp:positionH>
                <wp:positionV relativeFrom="paragraph">
                  <wp:posOffset>20320</wp:posOffset>
                </wp:positionV>
                <wp:extent cx="1781175" cy="962025"/>
                <wp:effectExtent l="114300" t="114300" r="142875" b="161925"/>
                <wp:wrapNone/>
                <wp:docPr id="308" name="Rounded Rectangle 308"/>
                <wp:cNvGraphicFramePr/>
                <a:graphic xmlns:a="http://schemas.openxmlformats.org/drawingml/2006/main">
                  <a:graphicData uri="http://schemas.microsoft.com/office/word/2010/wordprocessingShape">
                    <wps:wsp>
                      <wps:cNvSpPr/>
                      <wps:spPr>
                        <a:xfrm>
                          <a:off x="0" y="0"/>
                          <a:ext cx="1781175" cy="962025"/>
                        </a:xfrm>
                        <a:prstGeom prst="roundRect">
                          <a:avLst/>
                        </a:prstGeom>
                        <a:solidFill>
                          <a:srgbClr val="99C608"/>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E113F48"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ANTHROPOMETRIC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557EDD" id="Rounded Rectangle 308" o:spid="_x0000_s1039" style="position:absolute;left:0;text-align:left;margin-left:-4.5pt;margin-top:1.6pt;width:140.25pt;height:7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" fillcolor="#99c608" stroked="f" strokeweight="1pt">
                <v:stroke joinstyle="miter"/>
                <v:shadow on="t" color="black" offset="0,1pt"/>
                <v:textbox>
                  <w:txbxContent>
                    <w:p w14:paraId="0E113F48"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ANTHROPOMETRIC ASSESSMENT</w:t>
                      </w:r>
                    </w:p>
                  </w:txbxContent>
                </v:textbox>
              </v:roundrec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78720" behindDoc="0" locked="0" layoutInCell="1" allowOverlap="1" wp14:anchorId="2A0BCDB8" wp14:editId="21DFC7DD">
                <wp:simplePos x="0" y="0"/>
                <wp:positionH relativeFrom="column">
                  <wp:posOffset>2105025</wp:posOffset>
                </wp:positionH>
                <wp:positionV relativeFrom="paragraph">
                  <wp:posOffset>20320</wp:posOffset>
                </wp:positionV>
                <wp:extent cx="1781175" cy="962025"/>
                <wp:effectExtent l="114300" t="114300" r="142875" b="161925"/>
                <wp:wrapNone/>
                <wp:docPr id="309" name="Rounded Rectangle 309"/>
                <wp:cNvGraphicFramePr/>
                <a:graphic xmlns:a="http://schemas.openxmlformats.org/drawingml/2006/main">
                  <a:graphicData uri="http://schemas.microsoft.com/office/word/2010/wordprocessingShape">
                    <wps:wsp>
                      <wps:cNvSpPr/>
                      <wps:spPr>
                        <a:xfrm>
                          <a:off x="0" y="0"/>
                          <a:ext cx="1781175" cy="962025"/>
                        </a:xfrm>
                        <a:prstGeom prst="roundRect">
                          <a:avLst/>
                        </a:prstGeom>
                        <a:solidFill>
                          <a:srgbClr val="8AB833"/>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709BB5F"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FOOD FREQUENCY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0BCDB8" id="Rounded Rectangle 309" o:spid="_x0000_s1040" style="position:absolute;left:0;text-align:left;margin-left:165.75pt;margin-top:1.6pt;width:140.25pt;height:7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" fillcolor="#8ab833" stroked="f" strokeweight="1pt">
                <v:stroke joinstyle="miter"/>
                <v:shadow on="t" color="black" offset="0,1pt"/>
                <v:textbox>
                  <w:txbxContent>
                    <w:p w14:paraId="3709BB5F" w14:textId="77777777" w:rsidR="00703566" w:rsidRPr="00C2027F" w:rsidRDefault="00703566" w:rsidP="00703566">
                      <w:pPr>
                        <w:spacing w:line="360" w:lineRule="auto"/>
                        <w:jc w:val="center"/>
                        <w:rPr>
                          <w:rFonts w:ascii="Times New Roman" w:hAnsi="Times New Roman" w:cs="Times New Roman"/>
                          <w:color w:val="000000"/>
                          <w:sz w:val="24"/>
                        </w:rPr>
                      </w:pPr>
                      <w:r w:rsidRPr="00C2027F">
                        <w:rPr>
                          <w:rFonts w:ascii="Times New Roman" w:hAnsi="Times New Roman" w:cs="Times New Roman"/>
                          <w:color w:val="000000"/>
                          <w:sz w:val="24"/>
                        </w:rPr>
                        <w:t>FOOD FREQUENCY QUESTIONNAIRE</w:t>
                      </w:r>
                    </w:p>
                  </w:txbxContent>
                </v:textbox>
              </v:roundrect>
            </w:pict>
          </mc:Fallback>
        </mc:AlternateContent>
      </w:r>
    </w:p>
    <w:p w14:paraId="1D65AAEE"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p>
    <w:p w14:paraId="605B2268"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92032" behindDoc="0" locked="0" layoutInCell="1" allowOverlap="1" wp14:anchorId="21032FB8" wp14:editId="124A75CC">
                <wp:simplePos x="0" y="0"/>
                <wp:positionH relativeFrom="column">
                  <wp:posOffset>5314950</wp:posOffset>
                </wp:positionH>
                <wp:positionV relativeFrom="paragraph">
                  <wp:posOffset>165735</wp:posOffset>
                </wp:positionV>
                <wp:extent cx="0" cy="266700"/>
                <wp:effectExtent l="76200" t="19050" r="76200" b="76200"/>
                <wp:wrapNone/>
                <wp:docPr id="310" name="Straight Connector 310"/>
                <wp:cNvGraphicFramePr/>
                <a:graphic xmlns:a="http://schemas.openxmlformats.org/drawingml/2006/main">
                  <a:graphicData uri="http://schemas.microsoft.com/office/word/2010/wordprocessingShape">
                    <wps:wsp>
                      <wps:cNvCnPr/>
                      <wps:spPr>
                        <a:xfrm flipV="1">
                          <a:off x="0" y="0"/>
                          <a:ext cx="0" cy="266700"/>
                        </a:xfrm>
                        <a:prstGeom prst="line">
                          <a:avLst/>
                        </a:prstGeom>
                        <a:noFill/>
                        <a:ln w="19050" cap="flat" cmpd="sng" algn="ctr">
                          <a:solidFill>
                            <a:srgbClr val="549E39"/>
                          </a:solidFill>
                          <a:prstDash val="solid"/>
                          <a:miter lim="800000"/>
                        </a:ln>
                        <a:effectLst/>
                      </wps:spPr>
                      <wps:bodyPr/>
                    </wps:wsp>
                  </a:graphicData>
                </a:graphic>
              </wp:anchor>
            </w:drawing>
          </mc:Choice>
          <mc:Fallback>
            <w:pict>
              <v:line w14:anchorId="05B0D58D" id="Straight Connector 310"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418.5pt,13.05pt" to="418.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" strokecolor="#549e39" strokeweight="1.5pt">
                <v:stroke joinstyle="miter"/>
              </v:line>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91008" behindDoc="0" locked="0" layoutInCell="1" allowOverlap="1" wp14:anchorId="4D95BF51" wp14:editId="04D966B6">
                <wp:simplePos x="0" y="0"/>
                <wp:positionH relativeFrom="column">
                  <wp:posOffset>809625</wp:posOffset>
                </wp:positionH>
                <wp:positionV relativeFrom="paragraph">
                  <wp:posOffset>165735</wp:posOffset>
                </wp:positionV>
                <wp:extent cx="0" cy="266700"/>
                <wp:effectExtent l="76200" t="19050" r="76200" b="76200"/>
                <wp:wrapNone/>
                <wp:docPr id="311" name="Straight Connector 311"/>
                <wp:cNvGraphicFramePr/>
                <a:graphic xmlns:a="http://schemas.openxmlformats.org/drawingml/2006/main">
                  <a:graphicData uri="http://schemas.microsoft.com/office/word/2010/wordprocessingShape">
                    <wps:wsp>
                      <wps:cNvCnPr/>
                      <wps:spPr>
                        <a:xfrm flipV="1">
                          <a:off x="0" y="0"/>
                          <a:ext cx="0" cy="266700"/>
                        </a:xfrm>
                        <a:prstGeom prst="line">
                          <a:avLst/>
                        </a:prstGeom>
                        <a:noFill/>
                        <a:ln w="19050" cap="flat" cmpd="sng" algn="ctr">
                          <a:solidFill>
                            <a:srgbClr val="549E39"/>
                          </a:solidFill>
                          <a:prstDash val="solid"/>
                          <a:miter lim="800000"/>
                        </a:ln>
                        <a:effectLst/>
                      </wps:spPr>
                      <wps:bodyPr/>
                    </wps:wsp>
                  </a:graphicData>
                </a:graphic>
              </wp:anchor>
            </w:drawing>
          </mc:Choice>
          <mc:Fallback>
            <w:pict>
              <v:line w14:anchorId="73C1DBDB" id="Straight Connector 311"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63.75pt,13.05pt" to="63.7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" strokecolor="#549e39" strokeweight="1.5pt">
                <v:stroke joinstyle="miter"/>
              </v:line>
            </w:pict>
          </mc:Fallback>
        </mc:AlternateContent>
      </w:r>
    </w:p>
    <w:p w14:paraId="2343E798" w14:textId="77777777" w:rsidR="00703566" w:rsidRPr="00703566" w:rsidRDefault="00703566" w:rsidP="00703566">
      <w:pPr>
        <w:spacing w:line="360" w:lineRule="auto"/>
        <w:jc w:val="both"/>
        <w:rPr>
          <w:rFonts w:ascii="Times New Roman" w:eastAsia="Times New Roman" w:hAnsi="Times New Roman" w:cs="Times New Roman"/>
          <w:b/>
          <w:sz w:val="28"/>
          <w:szCs w:val="24"/>
          <w:lang w:val="en-GB"/>
        </w:rPr>
      </w:pP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87936" behindDoc="0" locked="0" layoutInCell="1" allowOverlap="1" wp14:anchorId="23461741" wp14:editId="52F6E8DC">
                <wp:simplePos x="0" y="0"/>
                <wp:positionH relativeFrom="column">
                  <wp:posOffset>38100</wp:posOffset>
                </wp:positionH>
                <wp:positionV relativeFrom="paragraph">
                  <wp:posOffset>287656</wp:posOffset>
                </wp:positionV>
                <wp:extent cx="6086475" cy="624840"/>
                <wp:effectExtent l="133350" t="133350" r="142875" b="175260"/>
                <wp:wrapNone/>
                <wp:docPr id="312" name="Rectangle 312"/>
                <wp:cNvGraphicFramePr/>
                <a:graphic xmlns:a="http://schemas.openxmlformats.org/drawingml/2006/main">
                  <a:graphicData uri="http://schemas.microsoft.com/office/word/2010/wordprocessingShape">
                    <wps:wsp>
                      <wps:cNvSpPr/>
                      <wps:spPr>
                        <a:xfrm>
                          <a:off x="0" y="0"/>
                          <a:ext cx="6086475" cy="624840"/>
                        </a:xfrm>
                        <a:prstGeom prst="rect">
                          <a:avLst/>
                        </a:prstGeom>
                        <a:solidFill>
                          <a:srgbClr val="15E529"/>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02DCA4D" w14:textId="77777777" w:rsidR="00703566" w:rsidRDefault="00703566" w:rsidP="00703566">
                            <w:pPr>
                              <w:jc w:val="center"/>
                              <w:rPr>
                                <w:rFonts w:ascii="Times New Roman" w:hAnsi="Times New Roman" w:cs="Times New Roman"/>
                                <w:sz w:val="24"/>
                                <w:szCs w:val="24"/>
                              </w:rPr>
                            </w:pPr>
                            <w:r w:rsidRPr="0038247E">
                              <w:rPr>
                                <w:rFonts w:ascii="Times New Roman" w:hAnsi="Times New Roman" w:cs="Times New Roman"/>
                                <w:sz w:val="24"/>
                                <w:szCs w:val="24"/>
                              </w:rPr>
                              <w:t xml:space="preserve">STATISTICAL ANALYSIS AND DATA INTERPRETATION </w:t>
                            </w:r>
                          </w:p>
                          <w:p w14:paraId="57B6DED6" w14:textId="77777777" w:rsidR="00703566" w:rsidRPr="007D3173" w:rsidRDefault="00703566" w:rsidP="00703566">
                            <w:pPr>
                              <w:jc w:val="center"/>
                              <w:rPr>
                                <w:rFonts w:ascii="Times New Roman" w:hAnsi="Times New Roman" w:cs="Times New Roman"/>
                                <w:color w:val="FF0000"/>
                                <w:sz w:val="24"/>
                                <w:szCs w:val="24"/>
                              </w:rPr>
                            </w:pPr>
                            <w:r>
                              <w:rPr>
                                <w:rFonts w:ascii="Times New Roman" w:hAnsi="Times New Roman" w:cs="Times New Roman"/>
                                <w:sz w:val="24"/>
                                <w:szCs w:val="24"/>
                              </w:rPr>
                              <w:t>Chi-square test, t test.</w:t>
                            </w:r>
                          </w:p>
                          <w:p w14:paraId="1D8FA30B" w14:textId="77777777" w:rsidR="00703566" w:rsidRPr="00DD5B45" w:rsidRDefault="00703566" w:rsidP="00703566">
                            <w:pPr>
                              <w:jc w:val="center"/>
                              <w:rPr>
                                <w:rFonts w:ascii="Times New Roman" w:hAnsi="Times New Roman" w:cs="Times New Roman"/>
                                <w:b/>
                                <w:sz w:val="24"/>
                                <w:szCs w:val="24"/>
                              </w:rPr>
                            </w:pPr>
                          </w:p>
                          <w:p w14:paraId="2A6E94AB" w14:textId="77777777" w:rsidR="00703566" w:rsidRPr="00167731" w:rsidRDefault="00703566" w:rsidP="00703566">
                            <w:pPr>
                              <w:spacing w:line="360" w:lineRule="auto"/>
                              <w:jc w:val="center"/>
                              <w:rPr>
                                <w:rFonts w:ascii="Times New Roman" w:hAnsi="Times New Roman" w:cs="Times New Roman"/>
                                <w:sz w:val="24"/>
                                <w:szCs w:val="24"/>
                              </w:rPr>
                            </w:pPr>
                            <w:r>
                              <w:rPr>
                                <w:rFonts w:ascii="Times New Roman" w:hAnsi="Times New Roman" w:cs="Times New Roman"/>
                                <w:sz w:val="24"/>
                                <w:szCs w:val="24"/>
                              </w:rPr>
                              <w:t>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61741" id="Rectangle 312" o:spid="_x0000_s1041" style="position:absolute;left:0;text-align:left;margin-left:3pt;margin-top:22.65pt;width:479.25pt;height:49.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" fillcolor="#15e529" stroked="f" strokeweight="1pt">
                <v:shadow on="t" color="black" offset="0,1pt"/>
                <v:textbox>
                  <w:txbxContent>
                    <w:p w14:paraId="602DCA4D" w14:textId="77777777" w:rsidR="00703566" w:rsidRDefault="00703566" w:rsidP="00703566">
                      <w:pPr>
                        <w:jc w:val="center"/>
                        <w:rPr>
                          <w:rFonts w:ascii="Times New Roman" w:hAnsi="Times New Roman" w:cs="Times New Roman"/>
                          <w:sz w:val="24"/>
                          <w:szCs w:val="24"/>
                        </w:rPr>
                      </w:pPr>
                      <w:r w:rsidRPr="0038247E">
                        <w:rPr>
                          <w:rFonts w:ascii="Times New Roman" w:hAnsi="Times New Roman" w:cs="Times New Roman"/>
                          <w:sz w:val="24"/>
                          <w:szCs w:val="24"/>
                        </w:rPr>
                        <w:t xml:space="preserve">STATISTICAL ANALYSIS AND DATA INTERPRETATION </w:t>
                      </w:r>
                    </w:p>
                    <w:p w14:paraId="57B6DED6" w14:textId="77777777" w:rsidR="00703566" w:rsidRPr="007D3173" w:rsidRDefault="00703566" w:rsidP="00703566">
                      <w:pPr>
                        <w:jc w:val="center"/>
                        <w:rPr>
                          <w:rFonts w:ascii="Times New Roman" w:hAnsi="Times New Roman" w:cs="Times New Roman"/>
                          <w:color w:val="FF0000"/>
                          <w:sz w:val="24"/>
                          <w:szCs w:val="24"/>
                        </w:rPr>
                      </w:pPr>
                      <w:r>
                        <w:rPr>
                          <w:rFonts w:ascii="Times New Roman" w:hAnsi="Times New Roman" w:cs="Times New Roman"/>
                          <w:sz w:val="24"/>
                          <w:szCs w:val="24"/>
                        </w:rPr>
                        <w:t>Chi-square test, t test.</w:t>
                      </w:r>
                    </w:p>
                    <w:p w14:paraId="1D8FA30B" w14:textId="77777777" w:rsidR="00703566" w:rsidRPr="00DD5B45" w:rsidRDefault="00703566" w:rsidP="00703566">
                      <w:pPr>
                        <w:jc w:val="center"/>
                        <w:rPr>
                          <w:rFonts w:ascii="Times New Roman" w:hAnsi="Times New Roman" w:cs="Times New Roman"/>
                          <w:b/>
                          <w:sz w:val="24"/>
                          <w:szCs w:val="24"/>
                        </w:rPr>
                      </w:pPr>
                    </w:p>
                    <w:p w14:paraId="2A6E94AB" w14:textId="77777777" w:rsidR="00703566" w:rsidRPr="00167731" w:rsidRDefault="00703566" w:rsidP="00703566">
                      <w:pPr>
                        <w:spacing w:line="360" w:lineRule="auto"/>
                        <w:jc w:val="center"/>
                        <w:rPr>
                          <w:rFonts w:ascii="Times New Roman" w:hAnsi="Times New Roman" w:cs="Times New Roman"/>
                          <w:sz w:val="24"/>
                          <w:szCs w:val="24"/>
                        </w:rPr>
                      </w:pPr>
                      <w:r>
                        <w:rPr>
                          <w:rFonts w:ascii="Times New Roman" w:hAnsi="Times New Roman" w:cs="Times New Roman"/>
                          <w:sz w:val="24"/>
                          <w:szCs w:val="24"/>
                        </w:rPr>
                        <w:t>CHI</w:t>
                      </w:r>
                    </w:p>
                  </w:txbxContent>
                </v:textbox>
              </v:rect>
            </w:pict>
          </mc:Fallback>
        </mc:AlternateContent>
      </w:r>
      <w:r w:rsidRPr="00703566">
        <w:rPr>
          <w:rFonts w:ascii="Times New Roman" w:eastAsia="Times New Roman" w:hAnsi="Times New Roman" w:cs="Times New Roman"/>
          <w:b/>
          <w:noProof/>
          <w:sz w:val="24"/>
          <w:szCs w:val="24"/>
          <w:lang w:val="en-GB"/>
        </w:rPr>
        <mc:AlternateContent>
          <mc:Choice Requires="wps">
            <w:drawing>
              <wp:anchor distT="0" distB="0" distL="114300" distR="114300" simplePos="0" relativeHeight="251689984" behindDoc="0" locked="0" layoutInCell="1" allowOverlap="1" wp14:anchorId="65502E5D" wp14:editId="500F9BF2">
                <wp:simplePos x="0" y="0"/>
                <wp:positionH relativeFrom="column">
                  <wp:posOffset>2959735</wp:posOffset>
                </wp:positionH>
                <wp:positionV relativeFrom="paragraph">
                  <wp:posOffset>43180</wp:posOffset>
                </wp:positionV>
                <wp:extent cx="45085" cy="238125"/>
                <wp:effectExtent l="19050" t="0" r="31115" b="47625"/>
                <wp:wrapNone/>
                <wp:docPr id="313" name="Down Arrow 313"/>
                <wp:cNvGraphicFramePr/>
                <a:graphic xmlns:a="http://schemas.openxmlformats.org/drawingml/2006/main">
                  <a:graphicData uri="http://schemas.microsoft.com/office/word/2010/wordprocessingShape">
                    <wps:wsp>
                      <wps:cNvSpPr/>
                      <wps:spPr>
                        <a:xfrm>
                          <a:off x="0" y="0"/>
                          <a:ext cx="45085" cy="238125"/>
                        </a:xfrm>
                        <a:prstGeom prst="downArrow">
                          <a:avLst/>
                        </a:prstGeom>
                        <a:solidFill>
                          <a:sysClr val="window" lastClr="FFFFFF"/>
                        </a:solidFill>
                        <a:ln w="12700" cap="flat" cmpd="sng" algn="ctr">
                          <a:solidFill>
                            <a:srgbClr val="549E3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08AEB" id="Down Arrow 313" o:spid="_x0000_s1026" type="#_x0000_t67" style="position:absolute;margin-left:233.05pt;margin-top:3.4pt;width:3.5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" adj="19555" fillcolor="window" strokecolor="#549e39" strokeweight="1pt"/>
            </w:pict>
          </mc:Fallback>
        </mc:AlternateContent>
      </w:r>
      <w:r w:rsidRPr="00703566">
        <w:rPr>
          <w:rFonts w:ascii="Times New Roman" w:eastAsia="Times New Roman" w:hAnsi="Times New Roman" w:cs="Times New Roman"/>
          <w:b/>
          <w:noProof/>
          <w:sz w:val="28"/>
          <w:szCs w:val="24"/>
          <w:lang w:val="en-GB"/>
        </w:rPr>
        <mc:AlternateContent>
          <mc:Choice Requires="wps">
            <w:drawing>
              <wp:anchor distT="0" distB="0" distL="114300" distR="114300" simplePos="0" relativeHeight="251688960" behindDoc="0" locked="0" layoutInCell="1" allowOverlap="1" wp14:anchorId="01DE7DEA" wp14:editId="4F913C2B">
                <wp:simplePos x="0" y="0"/>
                <wp:positionH relativeFrom="column">
                  <wp:posOffset>771525</wp:posOffset>
                </wp:positionH>
                <wp:positionV relativeFrom="paragraph">
                  <wp:posOffset>24130</wp:posOffset>
                </wp:positionV>
                <wp:extent cx="4543425" cy="0"/>
                <wp:effectExtent l="38100" t="38100" r="66675" b="95250"/>
                <wp:wrapNone/>
                <wp:docPr id="314" name="Straight Connector 314"/>
                <wp:cNvGraphicFramePr/>
                <a:graphic xmlns:a="http://schemas.openxmlformats.org/drawingml/2006/main">
                  <a:graphicData uri="http://schemas.microsoft.com/office/word/2010/wordprocessingShape">
                    <wps:wsp>
                      <wps:cNvCnPr/>
                      <wps:spPr>
                        <a:xfrm>
                          <a:off x="0" y="0"/>
                          <a:ext cx="4543425" cy="0"/>
                        </a:xfrm>
                        <a:prstGeom prst="line">
                          <a:avLst/>
                        </a:prstGeom>
                        <a:noFill/>
                        <a:ln w="12700" cap="flat" cmpd="sng" algn="ctr">
                          <a:solidFill>
                            <a:srgbClr val="4AB5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0C3911" id="Straight Connector 31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9pt" to="41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" strokecolor="#4ab5c4" strokeweight="1pt">
                <v:stroke joinstyle="miter"/>
              </v:line>
            </w:pict>
          </mc:Fallback>
        </mc:AlternateContent>
      </w:r>
    </w:p>
    <w:p w14:paraId="7F1876B3" w14:textId="77777777" w:rsidR="00703566" w:rsidRPr="00703566" w:rsidRDefault="00703566" w:rsidP="00703566">
      <w:pPr>
        <w:spacing w:line="480" w:lineRule="auto"/>
        <w:jc w:val="center"/>
        <w:rPr>
          <w:rFonts w:ascii="Times New Roman" w:eastAsia="Times New Roman" w:hAnsi="Times New Roman" w:cs="Times New Roman"/>
          <w:b/>
          <w:color w:val="000000"/>
          <w:sz w:val="28"/>
          <w:szCs w:val="28"/>
          <w:lang w:val="en-GB"/>
        </w:rPr>
      </w:pPr>
    </w:p>
    <w:p w14:paraId="688EB1FA" w14:textId="77777777" w:rsidR="00703566" w:rsidRPr="00703566" w:rsidRDefault="00703566" w:rsidP="00703566">
      <w:pPr>
        <w:spacing w:line="480" w:lineRule="auto"/>
        <w:jc w:val="center"/>
        <w:rPr>
          <w:rFonts w:ascii="Times New Roman" w:eastAsia="Times New Roman" w:hAnsi="Times New Roman" w:cs="Times New Roman"/>
          <w:b/>
          <w:sz w:val="40"/>
          <w:szCs w:val="40"/>
          <w:lang w:val="en-GB"/>
        </w:rPr>
      </w:pPr>
    </w:p>
    <w:p w14:paraId="454EB4E3" w14:textId="77777777" w:rsidR="00703566" w:rsidRPr="00703566" w:rsidRDefault="00703566" w:rsidP="00703566">
      <w:pPr>
        <w:rPr>
          <w:rFonts w:ascii="Calibri" w:eastAsia="Times New Roman" w:hAnsi="Calibri" w:cs="Times New Roman"/>
          <w:lang w:val="en-GB"/>
        </w:rPr>
      </w:pPr>
    </w:p>
    <w:p w14:paraId="777E45F9" w14:textId="77777777" w:rsidR="00703566" w:rsidRPr="00703566" w:rsidRDefault="00703566" w:rsidP="00703566">
      <w:pPr>
        <w:spacing w:after="200" w:line="480" w:lineRule="auto"/>
        <w:jc w:val="center"/>
        <w:rPr>
          <w:rFonts w:ascii="Times New Roman" w:eastAsia="Calibri" w:hAnsi="Times New Roman" w:cs="Times New Roman"/>
          <w:b/>
          <w:bCs/>
          <w:sz w:val="24"/>
          <w:szCs w:val="24"/>
          <w:lang w:val="en-US"/>
        </w:rPr>
      </w:pPr>
    </w:p>
    <w:p w14:paraId="424F55AC" w14:textId="77777777" w:rsidR="00703566" w:rsidRPr="00703566" w:rsidRDefault="00703566" w:rsidP="00703566">
      <w:pPr>
        <w:spacing w:line="480" w:lineRule="auto"/>
        <w:jc w:val="both"/>
        <w:rPr>
          <w:rFonts w:ascii="Times New Roman" w:hAnsi="Times New Roman" w:cs="Times New Roman"/>
          <w:b/>
          <w:bCs/>
          <w:sz w:val="24"/>
          <w:szCs w:val="24"/>
        </w:rPr>
      </w:pPr>
    </w:p>
    <w:p w14:paraId="789676D5" w14:textId="77777777" w:rsidR="00703566" w:rsidRPr="00703566" w:rsidRDefault="00703566" w:rsidP="00703566">
      <w:pPr>
        <w:spacing w:line="480" w:lineRule="auto"/>
        <w:jc w:val="both"/>
        <w:rPr>
          <w:rFonts w:ascii="Times New Roman" w:hAnsi="Times New Roman" w:cs="Times New Roman"/>
          <w:b/>
          <w:bCs/>
          <w:sz w:val="24"/>
          <w:szCs w:val="24"/>
        </w:rPr>
      </w:pPr>
    </w:p>
    <w:p w14:paraId="3F59B0EE" w14:textId="77777777" w:rsidR="00703566" w:rsidRPr="00703566" w:rsidRDefault="00703566" w:rsidP="00703566">
      <w:pPr>
        <w:spacing w:line="480" w:lineRule="auto"/>
        <w:jc w:val="both"/>
        <w:rPr>
          <w:rFonts w:ascii="Times New Roman" w:hAnsi="Times New Roman" w:cs="Times New Roman"/>
          <w:b/>
          <w:bCs/>
          <w:sz w:val="24"/>
          <w:szCs w:val="24"/>
        </w:rPr>
      </w:pPr>
    </w:p>
    <w:p w14:paraId="6EE5757F" w14:textId="77777777" w:rsidR="00703566" w:rsidRPr="00703566" w:rsidRDefault="00703566" w:rsidP="00703566">
      <w:pPr>
        <w:spacing w:line="480" w:lineRule="auto"/>
        <w:jc w:val="both"/>
        <w:rPr>
          <w:rFonts w:ascii="Times New Roman" w:hAnsi="Times New Roman" w:cs="Times New Roman"/>
          <w:b/>
          <w:bCs/>
          <w:sz w:val="24"/>
          <w:szCs w:val="24"/>
        </w:rPr>
      </w:pPr>
    </w:p>
    <w:p w14:paraId="73D97D93" w14:textId="77777777" w:rsidR="00703566" w:rsidRPr="00703566" w:rsidRDefault="00703566" w:rsidP="00703566">
      <w:pPr>
        <w:spacing w:line="480" w:lineRule="auto"/>
        <w:jc w:val="both"/>
        <w:rPr>
          <w:rFonts w:ascii="Times New Roman" w:hAnsi="Times New Roman" w:cs="Times New Roman"/>
          <w:b/>
          <w:bCs/>
          <w:sz w:val="56"/>
          <w:szCs w:val="56"/>
        </w:rPr>
      </w:pPr>
      <w:r w:rsidRPr="00703566">
        <w:rPr>
          <w:rFonts w:ascii="Times New Roman" w:hAnsi="Times New Roman" w:cs="Times New Roman"/>
          <w:b/>
          <w:bCs/>
          <w:sz w:val="56"/>
          <w:szCs w:val="56"/>
        </w:rPr>
        <w:t xml:space="preserve">    RESULTS AND DISCUSSION</w:t>
      </w:r>
    </w:p>
    <w:p w14:paraId="79B354BA" w14:textId="77777777" w:rsidR="00703566" w:rsidRPr="00703566" w:rsidRDefault="00703566" w:rsidP="00703566">
      <w:pPr>
        <w:spacing w:line="480" w:lineRule="auto"/>
        <w:jc w:val="both"/>
        <w:rPr>
          <w:rFonts w:ascii="Times New Roman" w:hAnsi="Times New Roman" w:cs="Times New Roman"/>
          <w:sz w:val="24"/>
          <w:szCs w:val="24"/>
        </w:rPr>
      </w:pPr>
    </w:p>
    <w:p w14:paraId="6FC66C29" w14:textId="77777777" w:rsidR="00703566" w:rsidRPr="00703566" w:rsidRDefault="00703566" w:rsidP="00703566">
      <w:pPr>
        <w:spacing w:line="480" w:lineRule="auto"/>
        <w:jc w:val="both"/>
        <w:rPr>
          <w:rFonts w:ascii="Times New Roman" w:hAnsi="Times New Roman" w:cs="Times New Roman"/>
          <w:sz w:val="24"/>
          <w:szCs w:val="24"/>
        </w:rPr>
      </w:pPr>
    </w:p>
    <w:p w14:paraId="2A306632" w14:textId="77777777" w:rsidR="00703566" w:rsidRPr="00703566" w:rsidRDefault="00703566" w:rsidP="00703566">
      <w:pPr>
        <w:spacing w:line="480" w:lineRule="auto"/>
        <w:jc w:val="both"/>
        <w:rPr>
          <w:rFonts w:ascii="Times New Roman" w:hAnsi="Times New Roman" w:cs="Times New Roman"/>
          <w:sz w:val="24"/>
          <w:szCs w:val="24"/>
        </w:rPr>
      </w:pPr>
    </w:p>
    <w:p w14:paraId="1DCD4509" w14:textId="77777777" w:rsidR="00703566" w:rsidRPr="00703566" w:rsidRDefault="00703566" w:rsidP="00703566">
      <w:pPr>
        <w:spacing w:line="480" w:lineRule="auto"/>
        <w:jc w:val="both"/>
        <w:rPr>
          <w:rFonts w:ascii="Times New Roman" w:hAnsi="Times New Roman" w:cs="Times New Roman"/>
          <w:sz w:val="24"/>
          <w:szCs w:val="24"/>
        </w:rPr>
      </w:pPr>
    </w:p>
    <w:p w14:paraId="66DE3EF0" w14:textId="77777777" w:rsidR="00703566" w:rsidRPr="00703566" w:rsidRDefault="00703566" w:rsidP="00703566">
      <w:pPr>
        <w:spacing w:line="480" w:lineRule="auto"/>
        <w:jc w:val="both"/>
        <w:rPr>
          <w:rFonts w:ascii="Times New Roman" w:hAnsi="Times New Roman" w:cs="Times New Roman"/>
          <w:sz w:val="24"/>
          <w:szCs w:val="24"/>
        </w:rPr>
      </w:pPr>
    </w:p>
    <w:p w14:paraId="772160C4" w14:textId="77777777" w:rsidR="00703566" w:rsidRPr="00703566" w:rsidRDefault="00703566" w:rsidP="00703566">
      <w:pPr>
        <w:spacing w:line="480" w:lineRule="auto"/>
        <w:jc w:val="both"/>
        <w:rPr>
          <w:rFonts w:ascii="Times New Roman" w:hAnsi="Times New Roman" w:cs="Times New Roman"/>
          <w:sz w:val="24"/>
          <w:szCs w:val="24"/>
        </w:rPr>
      </w:pPr>
    </w:p>
    <w:p w14:paraId="568A2867" w14:textId="77777777" w:rsidR="00703566" w:rsidRPr="00703566" w:rsidRDefault="00703566" w:rsidP="00703566">
      <w:pPr>
        <w:spacing w:line="480" w:lineRule="auto"/>
        <w:jc w:val="both"/>
        <w:rPr>
          <w:rFonts w:ascii="Times New Roman" w:hAnsi="Times New Roman" w:cs="Times New Roman"/>
          <w:sz w:val="24"/>
          <w:szCs w:val="24"/>
        </w:rPr>
      </w:pPr>
    </w:p>
    <w:p w14:paraId="0D3CD229" w14:textId="77777777" w:rsidR="00703566" w:rsidRPr="00703566" w:rsidRDefault="00703566" w:rsidP="00703566">
      <w:pPr>
        <w:spacing w:line="480" w:lineRule="auto"/>
        <w:jc w:val="both"/>
        <w:rPr>
          <w:rFonts w:ascii="Times New Roman" w:hAnsi="Times New Roman" w:cs="Times New Roman"/>
          <w:sz w:val="24"/>
          <w:szCs w:val="24"/>
        </w:rPr>
      </w:pPr>
    </w:p>
    <w:p w14:paraId="71572118" w14:textId="77777777" w:rsidR="00703566" w:rsidRPr="00703566" w:rsidRDefault="00703566" w:rsidP="00703566">
      <w:pPr>
        <w:spacing w:line="480" w:lineRule="auto"/>
        <w:jc w:val="both"/>
        <w:rPr>
          <w:rFonts w:ascii="Times New Roman" w:hAnsi="Times New Roman" w:cs="Times New Roman"/>
          <w:sz w:val="24"/>
          <w:szCs w:val="24"/>
        </w:rPr>
      </w:pPr>
    </w:p>
    <w:p w14:paraId="369D8A62" w14:textId="77777777" w:rsidR="00703566" w:rsidRPr="00703566" w:rsidRDefault="00703566" w:rsidP="00703566">
      <w:pPr>
        <w:spacing w:line="480" w:lineRule="auto"/>
        <w:jc w:val="both"/>
        <w:rPr>
          <w:rFonts w:ascii="Times New Roman" w:hAnsi="Times New Roman" w:cs="Times New Roman"/>
          <w:sz w:val="24"/>
          <w:szCs w:val="24"/>
        </w:rPr>
      </w:pPr>
    </w:p>
    <w:p w14:paraId="54D2A465" w14:textId="77777777" w:rsidR="00703566" w:rsidRPr="00703566" w:rsidRDefault="00703566" w:rsidP="00703566">
      <w:pPr>
        <w:spacing w:line="480" w:lineRule="auto"/>
        <w:ind w:left="720" w:firstLine="720"/>
        <w:jc w:val="both"/>
        <w:rPr>
          <w:rFonts w:ascii="Times New Roman" w:eastAsia="Calibri" w:hAnsi="Times New Roman" w:cs="Times New Roman"/>
          <w:b/>
          <w:bCs/>
          <w:sz w:val="28"/>
          <w:szCs w:val="28"/>
          <w:lang w:val="en-US"/>
        </w:rPr>
      </w:pPr>
      <w:r w:rsidRPr="00703566">
        <w:rPr>
          <w:rFonts w:ascii="Times New Roman" w:eastAsia="Calibri" w:hAnsi="Times New Roman" w:cs="Times New Roman"/>
          <w:b/>
          <w:bCs/>
          <w:sz w:val="28"/>
          <w:szCs w:val="28"/>
          <w:lang w:val="en-US"/>
        </w:rPr>
        <w:lastRenderedPageBreak/>
        <w:t xml:space="preserve">                      CHAPTER - 4</w:t>
      </w:r>
    </w:p>
    <w:p w14:paraId="2FF9ABE1" w14:textId="77777777" w:rsidR="00703566" w:rsidRPr="00703566" w:rsidRDefault="00703566" w:rsidP="00703566">
      <w:pPr>
        <w:spacing w:line="480" w:lineRule="auto"/>
        <w:jc w:val="both"/>
        <w:rPr>
          <w:rFonts w:ascii="Times New Roman" w:eastAsia="Calibri" w:hAnsi="Times New Roman" w:cs="Times New Roman"/>
          <w:b/>
          <w:bCs/>
          <w:sz w:val="28"/>
          <w:szCs w:val="28"/>
          <w:lang w:val="en-US"/>
        </w:rPr>
      </w:pPr>
      <w:r w:rsidRPr="00703566">
        <w:rPr>
          <w:rFonts w:ascii="Times New Roman" w:eastAsia="Calibri" w:hAnsi="Times New Roman" w:cs="Times New Roman"/>
          <w:b/>
          <w:bCs/>
          <w:sz w:val="28"/>
          <w:szCs w:val="28"/>
          <w:lang w:val="en-US"/>
        </w:rPr>
        <w:t xml:space="preserve">        </w:t>
      </w:r>
      <w:r w:rsidRPr="00703566">
        <w:rPr>
          <w:rFonts w:ascii="Times New Roman" w:eastAsia="Calibri" w:hAnsi="Times New Roman" w:cs="Times New Roman"/>
          <w:b/>
          <w:bCs/>
          <w:sz w:val="28"/>
          <w:szCs w:val="28"/>
          <w:lang w:val="en-US"/>
        </w:rPr>
        <w:tab/>
      </w:r>
      <w:r w:rsidRPr="00703566">
        <w:rPr>
          <w:rFonts w:ascii="Times New Roman" w:eastAsia="Calibri" w:hAnsi="Times New Roman" w:cs="Times New Roman"/>
          <w:b/>
          <w:bCs/>
          <w:sz w:val="28"/>
          <w:szCs w:val="28"/>
          <w:lang w:val="en-US"/>
        </w:rPr>
        <w:tab/>
      </w:r>
      <w:r w:rsidRPr="00703566">
        <w:rPr>
          <w:rFonts w:ascii="Times New Roman" w:eastAsia="Calibri" w:hAnsi="Times New Roman" w:cs="Times New Roman"/>
          <w:b/>
          <w:bCs/>
          <w:sz w:val="28"/>
          <w:szCs w:val="28"/>
          <w:lang w:val="en-US"/>
        </w:rPr>
        <w:tab/>
        <w:t xml:space="preserve">  RESULTS AND DISCUSSION</w:t>
      </w:r>
    </w:p>
    <w:p w14:paraId="1843B3E0"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The results of the study entitled “</w:t>
      </w:r>
      <w:r w:rsidRPr="00703566">
        <w:rPr>
          <w:rFonts w:ascii="Times New Roman" w:eastAsia="Calibri" w:hAnsi="Times New Roman" w:cs="Times New Roman"/>
          <w:b/>
          <w:bCs/>
          <w:sz w:val="24"/>
          <w:szCs w:val="24"/>
          <w:lang w:val="en-US"/>
        </w:rPr>
        <w:t>Determinants of COVID Outbreak and Nutritional Profile of Geriatric COVID Patients in Coastal Areas of Alappuzha”</w:t>
      </w:r>
      <w:r w:rsidRPr="00703566">
        <w:rPr>
          <w:rFonts w:ascii="Times New Roman" w:eastAsia="Calibri" w:hAnsi="Times New Roman" w:cs="Times New Roman"/>
          <w:sz w:val="24"/>
          <w:szCs w:val="24"/>
          <w:lang w:val="en-US"/>
        </w:rPr>
        <w:t xml:space="preserve"> were consolidated, analyzed systematically and results are presented under the following headings. </w:t>
      </w:r>
    </w:p>
    <w:p w14:paraId="785869BE"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4.1 Socioeconomic &amp; Demographic Variables</w:t>
      </w:r>
    </w:p>
    <w:p w14:paraId="72DDA843"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 xml:space="preserve">4.1.1 Age </w:t>
      </w:r>
    </w:p>
    <w:p w14:paraId="3C8D177D"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 xml:space="preserve">4.1.2 Family Size  </w:t>
      </w:r>
    </w:p>
    <w:p w14:paraId="0BCAE7B6"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4.1.3 Marital Status</w:t>
      </w:r>
    </w:p>
    <w:p w14:paraId="0227E7AB"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4.14 Occupation of elders</w:t>
      </w:r>
    </w:p>
    <w:p w14:paraId="4FEF4796"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 xml:space="preserve">4.1.5 Annual Income </w:t>
      </w:r>
    </w:p>
    <w:p w14:paraId="299A35BD"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4.2 Anthropometric measurement of target group</w:t>
      </w:r>
    </w:p>
    <w:p w14:paraId="1C0C61E3"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4.3 Physical activity of the target group</w:t>
      </w:r>
    </w:p>
    <w:p w14:paraId="22140D38"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4.4 Epidemiological factors associated with COVID 19 among geriatric people</w:t>
      </w:r>
    </w:p>
    <w:p w14:paraId="764BE951"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4.4.1 Mode of transmission of COVID 19 among geriatric</w:t>
      </w:r>
    </w:p>
    <w:p w14:paraId="5942CFAC"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4.4.2 Symptoms associated with COVID 19 among geriatric</w:t>
      </w:r>
    </w:p>
    <w:p w14:paraId="7325CE13"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4.4.3 Health issues after corona virus infection</w:t>
      </w:r>
    </w:p>
    <w:p w14:paraId="0C5FB1E1"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4.4.4 Duration of hospital stay of target group</w:t>
      </w:r>
    </w:p>
    <w:p w14:paraId="4E37CBB2"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t>4.4.5 Recovery period of corona virus infection among geriatric people</w:t>
      </w:r>
    </w:p>
    <w:p w14:paraId="4D8E4607"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4.5 Health profile of target group</w:t>
      </w:r>
    </w:p>
    <w:p w14:paraId="662156A1"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lastRenderedPageBreak/>
        <w:tab/>
        <w:t>4.5.1 Medical history of target group</w:t>
      </w:r>
    </w:p>
    <w:p w14:paraId="28054165"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4.5.2 Worsening of existing disease in target group</w:t>
      </w:r>
    </w:p>
    <w:p w14:paraId="6CAA9089"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4.5.3 Respiratory strength</w:t>
      </w:r>
    </w:p>
    <w:p w14:paraId="6677D798"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p>
    <w:p w14:paraId="1E96DDED"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4.6 Nutritional profile </w:t>
      </w:r>
    </w:p>
    <w:p w14:paraId="1CCCA2AB"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4.6.1 Nutritional assessment during COVID 19</w:t>
      </w:r>
    </w:p>
    <w:p w14:paraId="71893E3A"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4.6.2 Nutritional assessment after COVID 19 infection among target group</w:t>
      </w:r>
    </w:p>
    <w:p w14:paraId="39253B8B"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4.6.3 Appetite among target group during corona virus infection</w:t>
      </w:r>
    </w:p>
    <w:p w14:paraId="646A22BA"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4.6.4 Appetite among target group after corona virus infection</w:t>
      </w:r>
    </w:p>
    <w:p w14:paraId="56C3349A"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4.6.5 Eating disorders among target group during COVID-19 infection</w:t>
      </w:r>
    </w:p>
    <w:p w14:paraId="19C5DB87"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4.6.6 Eating disorders among target group after COVID-19 infection</w:t>
      </w:r>
    </w:p>
    <w:p w14:paraId="56838CE1"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4.6.7 Food frequency (during COVID19)</w:t>
      </w:r>
    </w:p>
    <w:p w14:paraId="0FC06E7B"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4.6.8 Food frequency (after COVID19)</w:t>
      </w:r>
    </w:p>
    <w:p w14:paraId="645B16E2"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p>
    <w:p w14:paraId="1589D0C5"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4.7 Psychological factors </w:t>
      </w:r>
    </w:p>
    <w:p w14:paraId="631AC1EC"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bookmarkStart w:id="1" w:name="_Hlk66380110"/>
      <w:r w:rsidRPr="00703566">
        <w:rPr>
          <w:rFonts w:ascii="Times New Roman" w:eastAsia="Calibri" w:hAnsi="Times New Roman" w:cs="Times New Roman"/>
          <w:sz w:val="24"/>
          <w:szCs w:val="24"/>
          <w:lang w:val="en-US"/>
        </w:rPr>
        <w:t>4.7.1 Stress among target group during pandemic</w:t>
      </w:r>
    </w:p>
    <w:bookmarkEnd w:id="1"/>
    <w:p w14:paraId="148E68F5"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4.7.2 Depression among target group during pandemic</w:t>
      </w:r>
    </w:p>
    <w:p w14:paraId="365D39E6"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4.7.3 Anxiety among target group during pandemic</w:t>
      </w:r>
    </w:p>
    <w:p w14:paraId="3182FD8E"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4.7.4 Occurrence of delirium in target group</w:t>
      </w:r>
    </w:p>
    <w:p w14:paraId="0945F1A1"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p>
    <w:p w14:paraId="5B535413"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4.8 Treatment modalities adopted for geriatric</w:t>
      </w:r>
    </w:p>
    <w:p w14:paraId="26CD4BA6"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2CDBE49D"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
    <w:p w14:paraId="0ADE358D"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
    <w:p w14:paraId="09B925E3"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lastRenderedPageBreak/>
        <w:t>4.1 Socioeconomic Demographic Variables</w:t>
      </w:r>
    </w:p>
    <w:p w14:paraId="1EEF29C4"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bCs/>
          <w:sz w:val="24"/>
          <w:szCs w:val="24"/>
          <w:lang w:val="en-US"/>
        </w:rPr>
        <w:tab/>
      </w:r>
      <w:r w:rsidRPr="00703566">
        <w:rPr>
          <w:rFonts w:ascii="Times New Roman" w:eastAsia="Calibri" w:hAnsi="Times New Roman" w:cs="Times New Roman"/>
          <w:sz w:val="24"/>
          <w:szCs w:val="24"/>
          <w:lang w:val="en-US"/>
        </w:rPr>
        <w:t xml:space="preserve">The analysis of socio-economic background of respondents has crucial importance. It helps to understand the diverse factors such as age, family size, economic status of the family that reflect the socio-economic background of the samples. This helps to understand the social structure and social relations of the respondents under the study. When compared to other age groups, the wellbeing and quality of life of the elderly are affected by many factors such as physical, psychological, social aspects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{"citationItems":[{"id":"ITEM-1","itemData":{"DOI":"10.4236/health.2015.75060","ISSN":"1949-4998","abstract":"Quality of life subscales was influenced by different factors including age, gender, and financial status and more importantly by health, education, financial and marital status. The main goal of this study was relationship between (QOL) with demographic variables of elderly in Golestan province-Iran. This research was an analytical cross study that conducted on 193 individuals going to Jahandidegan geriatric charity institution of Golestan-Iran. The data were collected from questionnaire SF-36 for QOL the elderly indicators through interviews and observation and then analyzed using SPSS V.17 Software. Among QOL dimensions, only general health status showed a significant association with supporting organizations covering status (P = 0.01). The relationship between QOL with current employment status in both genders was observed.","author":[{"dropping-particle":"","family":"Farzianpour","given":"Fereshteh","non-dropping-particle":"","parse-names":false,"suffix":""},{"dropping-particle":"","family":"Foroushani","given":"Abbas Rahimi","non-dropping-particle":"","parse-names":false,"suffix":""},{"dropping-particle":"","family":"Badakhshan","given":"Abbas","non-dropping-particle":"","parse-names":false,"suffix":""},{"dropping-particle":"","family":"Gholipour","given":"Mahin","non-dropping-particle":"","parse-names":false,"suffix":""}],"container-title":"Health","id":"ITEM-1","issue":"05","issued":{"date-parts":[["2015","5","5"]]},"page":"507-513","publisher":"Scientific Research Publishing, Inc,","title":"The Relationship between Quality of Life with Demographic Variables of Elderly in Golestan Province-Iran","type":"article-journal","volume":"07"},"uris":["http://www.mendeley.com/documents/?uuid=b2482d25-aa49-3a8b-916c-3af53f7fb0cc"]}],"mendeley":{"formattedCitation":"(Farzianpour et al., 2015)","plainTextFormattedCitation":"(Farzianpour et al., 2015)","previouslyFormattedCitation":"(Farzianpour et al., 2015)"},"properties":{"noteIndex":0},"schema":"https://github.com/citation-style-language/schema/raw/master/csl-citation.json"}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(Farzianpour et al., 2015)</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w:t>
      </w:r>
    </w:p>
    <w:p w14:paraId="582215CD"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
    <w:p w14:paraId="2EAB2BE5"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
      </w:r>
      <w:r w:rsidRPr="00703566">
        <w:rPr>
          <w:rFonts w:ascii="Times New Roman" w:eastAsia="Calibri" w:hAnsi="Times New Roman" w:cs="Times New Roman"/>
          <w:sz w:val="24"/>
          <w:szCs w:val="24"/>
          <w:lang w:val="en-US"/>
        </w:rPr>
        <w:tab/>
      </w:r>
    </w:p>
    <w:p w14:paraId="77BFC289"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                  </w:t>
      </w:r>
      <w:r w:rsidRPr="00703566">
        <w:rPr>
          <w:rFonts w:ascii="Times New Roman" w:eastAsia="Calibri" w:hAnsi="Times New Roman" w:cs="Times New Roman"/>
          <w:noProof/>
          <w:sz w:val="24"/>
          <w:szCs w:val="24"/>
        </w:rPr>
        <w:drawing>
          <wp:inline distT="0" distB="0" distL="0" distR="0" wp14:anchorId="11BE2660" wp14:editId="46D2F8CE">
            <wp:extent cx="5562600" cy="2743200"/>
            <wp:effectExtent l="0" t="0" r="0" b="0"/>
            <wp:docPr id="32" name="Chart 32">
              <a:extLst xmlns:a="http://schemas.openxmlformats.org/drawingml/2006/main">
                <a:ext uri="{FF2B5EF4-FFF2-40B4-BE49-F238E27FC236}">
                  <a16:creationId xmlns:a16="http://schemas.microsoft.com/office/drawing/2014/main" id="{DD39F7E7-750B-4349-8E47-C3A740D02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96F384" w14:textId="77777777" w:rsidR="00703566" w:rsidRPr="00703566" w:rsidRDefault="00703566" w:rsidP="00703566">
      <w:pPr>
        <w:tabs>
          <w:tab w:val="left" w:pos="6895"/>
        </w:tabs>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Figure 2</w:t>
      </w:r>
      <w:r w:rsidRPr="00703566">
        <w:rPr>
          <w:rFonts w:ascii="Times New Roman" w:eastAsia="Calibri" w:hAnsi="Times New Roman" w:cs="Times New Roman"/>
          <w:b/>
          <w:bCs/>
          <w:sz w:val="24"/>
          <w:szCs w:val="24"/>
        </w:rPr>
        <w:tab/>
      </w:r>
    </w:p>
    <w:p w14:paraId="4408B83D"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4.1.1 Age Wise Distribution of Samples</w:t>
      </w:r>
    </w:p>
    <w:p w14:paraId="1D90D939"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ab/>
        <w:t xml:space="preserve"> </w:t>
      </w:r>
      <w:r w:rsidRPr="00703566">
        <w:rPr>
          <w:rFonts w:ascii="Times New Roman" w:eastAsia="Calibri" w:hAnsi="Times New Roman" w:cs="Times New Roman"/>
          <w:b/>
          <w:bCs/>
          <w:sz w:val="24"/>
          <w:szCs w:val="24"/>
        </w:rPr>
        <w:t>Figure 2</w:t>
      </w:r>
      <w:r w:rsidRPr="00703566">
        <w:rPr>
          <w:rFonts w:ascii="Times New Roman" w:eastAsia="Calibri" w:hAnsi="Times New Roman" w:cs="Times New Roman"/>
          <w:sz w:val="24"/>
          <w:szCs w:val="24"/>
        </w:rPr>
        <w:t xml:space="preserve"> shows the age category of the samples. It shows that 40% of the subjects are in the 55 -64years age group, followed by the age group of 65 -74 years (39%). About 17% of </w:t>
      </w:r>
      <w:r w:rsidRPr="00703566">
        <w:rPr>
          <w:rFonts w:ascii="Times New Roman" w:eastAsia="Calibri" w:hAnsi="Times New Roman" w:cs="Times New Roman"/>
          <w:sz w:val="24"/>
          <w:szCs w:val="24"/>
        </w:rPr>
        <w:lastRenderedPageBreak/>
        <w:t xml:space="preserve">the samples belong to the age group of 75 -85years. Elder adults above 85 years constitute 4% of the total population of the samples. </w:t>
      </w:r>
    </w:p>
    <w:p w14:paraId="58EA2A1C"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The study carried out by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{"citationItems":[{"id":"ITEM-1","itemData":{"DOI":"10.1186/s13048-020-00734-4","ISSN":"17572215","abstract":"Male sex and older age have been reported to be associated with worse outcomes from COVID-19. It was postulated that estrogens may play a role in reducing the severity of the disease and may therefore offer a treatment option for COVID-19 patients. However, more female cases and deaths from COVID-19 have been recorded in Canada. To determine the potential role of estrogens, we analyzed COVID-19 data from Canada, focusing on the impact of sex and age. Although the overall incidence rate is higher in females than in males, when several high risk groups, including health care workers and long-term care residences, which are predominantly females, were excluded, we found that females had a lower incidence rate than males between the ages of 20s to 70s. Interestingly, this sex-based difference is more evident in females of the reproductive ages (20–49) than in postmenopausal patients (60s or older). Males have significantly higher hospitalization, ICU admission, and case fatality rates; however, a greater difference was observed in the older age groups. Finally, symptom manifestation varied between sexes. Some of the symptoms, which were more frequently observed in patients who recovered than patients who died, were more commonly observed in females of the reproductive age compared to their male counterparts. Since only females of the reproductive age have much higher circulating estrogens than males, these findings suggest that estrogens may play a role in reducing COVID-19 incidence and in the development of symptoms, especially those related to better survival.","author":[{"dropping-particle":"","family":"O’Brien","given":"Jacob","non-dropping-particle":"","parse-names":false,"suffix":""},{"dropping-particle":"","family":"Du","given":"Kevin Y.","non-dropping-particle":"","parse-names":false,"suffix":""},{"dropping-particle":"","family":"Peng","given":"Chun","non-dropping-particle":"","parse-names":false,"suffix":""}],"container-title":"Journal of Ovarian Research","id":"ITEM-1","issue":"1","issued":{"date-parts":[["2020"]]},"title":"Incidence, clinical features, and outcomes of COVID-19 in Canada: impact of sex and age","type":"article-journal","volume":"13"},"uris":["http://www.mendeley.com/documents/?uuid=ecb03b11-3f8e-3f4e-ba2a-3d26b457dd8c"]}],"mendeley":{"formattedCitation":"(O’Brien et al., 2020)","manualFormatting":"O’Brien et al., (2020)","plainTextFormattedCitation":"(O’Brien et al., 2020)","previouslyFormattedCitation":"(O’Brien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O’Brien et al.,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shows that, the occurrence of COVID 19  infection is more in 50  to 80 years old age group, in which 60 to 80 is more prone to coronavirus infection.</w:t>
      </w:r>
    </w:p>
    <w:p w14:paraId="2A5E5C2D"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0102E253"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noProof/>
          <w:sz w:val="24"/>
          <w:szCs w:val="24"/>
        </w:rPr>
        <w:drawing>
          <wp:inline distT="0" distB="0" distL="0" distR="0" wp14:anchorId="269FDF10" wp14:editId="5E3D35B0">
            <wp:extent cx="5295900" cy="2743200"/>
            <wp:effectExtent l="0" t="0" r="0" b="0"/>
            <wp:docPr id="33" name="Chart 33">
              <a:extLst xmlns:a="http://schemas.openxmlformats.org/drawingml/2006/main">
                <a:ext uri="{FF2B5EF4-FFF2-40B4-BE49-F238E27FC236}">
                  <a16:creationId xmlns:a16="http://schemas.microsoft.com/office/drawing/2014/main" id="{23EC6EF7-2324-4A02-B4C9-C8F9A9400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B13190"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Figure 3 </w:t>
      </w:r>
    </w:p>
    <w:p w14:paraId="36C74FFC"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4.1.2 Family Size of Target Samples</w:t>
      </w:r>
    </w:p>
    <w:p w14:paraId="1754405B"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Figure 3</w:t>
      </w:r>
      <w:r w:rsidRPr="00703566">
        <w:rPr>
          <w:rFonts w:ascii="Times New Roman" w:eastAsia="Calibri" w:hAnsi="Times New Roman" w:cs="Times New Roman"/>
          <w:sz w:val="24"/>
          <w:szCs w:val="24"/>
        </w:rPr>
        <w:t xml:space="preserve"> shows the family size of the target samples, which implies that 53% of the people have 4 to 5 family members in their house, 23% samples have 6 to 8 members, and 48% have less than 3 family members. According to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{"citationItems":[{"id":"ITEM-1","itemData":{"DOI":"10.1098/rstb.2014.0111","abstract":"One contribution of 14 to a theme issue 'The sociality-health-fitness nexus in animal societies'. Increased risk of infectious disease is assumed to be a major cost of group living, yet empirical evidence for this effect is mixed. We studied whether larger social groups are more subdivided structurally. If so, the social subdivisions that form in larger groups may act as barriers to the spread of infection, weakening the association between group size and infectious disease. To investigate this 'social bottleneck' hypothesis, we examined the association between group size and four network structure metrics in 43 vertebrate and invertebrate species. We focused on metrics involving modularity, clustering, distance and centralization. In a meta-analysis of intraspecific variation in social networks, modularity showed positive associations with network size, with a weaker but still positive effect in cross-species analyses. Network distance also showed a positive association with group size when using intra-specific variation. We then used a theoretical model to explore the effects of subgrouping relative to other effects that influence disease spread in socially structured populations. Outbreaks reached higher prevalence when groups were larger, but subgrouping reduced prevalence. Subgrouping also acted as a 'brake' on disease spread between groups. We suggest research directions to understand the conditions under which larger groups become more subdivided , and to devise new metrics that account for subgrouping when investigating the links between sociality and infectious disease risk.","author":[{"dropping-particle":"","family":"Nunn","given":"Charles L","non-dropping-particle":"","parse-names":false,"suffix":""},{"dropping-particle":"","family":"Jordán","given":"Ferenc","non-dropping-particle":"","parse-names":false,"suffix":""},{"dropping-particle":"","family":"Mccabe","given":"Collin M","non-dropping-particle":"","parse-names":false,"suffix":""},{"dropping-particle":"","family":"Verdolin","given":"Jennifer L","non-dropping-particle":"","parse-names":false,"suffix":""},{"dropping-particle":"","family":"Fewell","given":"Jennifer H","non-dropping-particle":"","parse-names":false,"suffix":""}],"id":"ITEM-1","issued":{"date-parts":[["2015"]]},"title":"Infectious disease and group size: more than just a numbers game","type":"article-journal"},"uris":["http://www.mendeley.com/documents/?uuid=dcdafc92-92b3-330a-92b8-cb72211e1509"]}],"mendeley":{"formattedCitation":"(Nunn et al., 2015)","manualFormatting":"Nunn et al., (2015)","plainTextFormattedCitation":"(Nunn et al., 2015)","previouslyFormattedCitation":"(Nunn et al., 2015)"},"properties":{"noteIndex":0},"schema":"https://github.com/citation-style-language/schema/raw/master/csl-citation.json"}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Nunn et al., (2015)</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the transmission of infectious agents like corona virus is widely expected in large sized family, but  this study shows that middle sized family suffer from infections more, because the area used for the study include more middle sized family (4-5family members). Most of the geriatric population , were affected </w:t>
      </w:r>
      <w:r w:rsidRPr="00703566">
        <w:rPr>
          <w:rFonts w:ascii="Times New Roman" w:eastAsia="Calibri" w:hAnsi="Times New Roman" w:cs="Times New Roman"/>
          <w:sz w:val="24"/>
          <w:szCs w:val="24"/>
        </w:rPr>
        <w:lastRenderedPageBreak/>
        <w:t xml:space="preserve">by corona virus infection through close contact with infected person in their family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{"citationItems":[{"id":"ITEM-1","itemData":{"DOI":"10.1016/j.cmi.2020.09.023","ISSN":"14690691","PMID":"32979574","abstract":"Objectives: To describe the prevalence, nature and risk factors for the main clinical sequelae in coronavirus disease 2019 (COVID-19) survivors who have been discharged from the hospital for more than 3 months. Methods: This longitudinal study was based on a telephone follow-up survey of COVID-19 patients hospitalized and discharged from Renmin Hospital of Wuhan University, Wuhan, China before 1 March 2020. Demographic and clinical characteristics and self-reported clinical sequelae of the survivors were described and analysed. A cohort of volunteers who were free of COVID-19 and lived in the urban area of Wuhan during the outbreak were also selected as the comparison group. Results: Among 538 survivors (293, 54.5% female), the median (interquartile range) age was 52.0 (41.0–62.0) years, and the time from discharge from hospital to first follow-up was 97.0 (95.0–102.0) days. Clinical sequelae were common, including general symptoms (n = 267, 49.6%), respiratory symptoms (n = 210, 39%), cardiovascular-related symptoms (n = 70, 13%), psychosocial symptoms (n = 122, 22.7%) and alopecia (n = 154, 28.6%). We found that physical decline/fatigue (p &lt; 0.01), postactivity polypnoea (p= 0.04) and alopecia (p &lt; 0.01) were more common in female than in male subjects. Dyspnoea during hospitalization was associated with subsequent physical decline/fatigue, postactivity polypnoea and resting heart rate increases but not specifically with alopecia. A history of asthma during hospitalization was associated with subsequent postactivity polypnoea sequela. A history of pulse ≥90 bpm during hospitalization was associated with resting heart rate increase in convalescence. The duration of virus shedding after COVID-19 onset and hospital length of stay were longer in survivors with physical decline/fatigue or postactivity polypnoea than in those without. Conclusions: Clinical sequelae during early COVID-19 convalescence were common; some of these sequelae might be related to gender, age and clinical characteristics during hospitalization.","author":[{"dropping-particle":"","family":"Xiong","given":"Qiutang","non-dropping-particle":"","parse-names":false,"suffix":""},{"dropping-particle":"","family":"Xu","given":"Ming","non-dropping-particle":"","parse-names":false,"suffix":""},{"dropping-particle":"","family":"Li","given":"Jiao","non-dropping-particle":"","parse-names":false,"suffix":""},{"dropping-particle":"","family":"Liu","given":"Yinghui","non-dropping-particle":"","parse-names":false,"suffix":""},{"dropping-particle":"","family":"Zhang","given":"Jixiang","non-dropping-particle":"","parse-names":false,"suffix":""},{"dropping-particle":"","family":"Xu","given":"Yu","non-dropping-particle":"","parse-names":false,"suffix":""},{"dropping-particle":"","family":"Dong","given":"Weiguo","non-dropping-particle":"","parse-names":false,"suffix":""}],"container-title":"Clinical Microbiology and Infection","id":"ITEM-1","issue":"1","issued":{"date-parts":[["2021","1","1"]]},"page":"89-95","publisher":"Elsevier B.V.","title":"Clinical sequelae of COVID-19 survivors in Wuhan, China: a single-centre longitudinal study","type":"article-journal","volume":"27"},"uris":["http://www.mendeley.com/documents/?uuid=3f4ab8b6-123b-3284-9d88-4ceddbb0049d"]}],"mendeley":{"formattedCitation":"(Xiong et al., 2021)","plainTextFormattedCitation":"(Xiong et al., 2021)","previouslyFormattedCitation":"(Xiong et al., 2021)"},"properties":{"noteIndex":0},"schema":"https://github.com/citation-style-language/schema/raw/master/csl-citation.json"}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(Xiong et al., 2021)</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16359351" w14:textId="77777777" w:rsidR="00703566" w:rsidRPr="00703566" w:rsidRDefault="00703566" w:rsidP="00703566">
      <w:pPr>
        <w:spacing w:line="480" w:lineRule="auto"/>
        <w:jc w:val="both"/>
        <w:rPr>
          <w:rFonts w:ascii="Times New Roman" w:eastAsia="Calibri" w:hAnsi="Times New Roman" w:cs="Times New Roman"/>
          <w:b/>
          <w:bCs/>
          <w:sz w:val="24"/>
          <w:szCs w:val="24"/>
        </w:rPr>
      </w:pPr>
    </w:p>
    <w:p w14:paraId="20613D01"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noProof/>
          <w:sz w:val="24"/>
          <w:szCs w:val="24"/>
        </w:rPr>
        <w:drawing>
          <wp:inline distT="0" distB="0" distL="0" distR="0" wp14:anchorId="6D4188B6" wp14:editId="06269DEA">
            <wp:extent cx="5356860" cy="2506980"/>
            <wp:effectExtent l="0" t="0" r="15240" b="7620"/>
            <wp:docPr id="8" name="Chart 8">
              <a:extLst xmlns:a="http://schemas.openxmlformats.org/drawingml/2006/main">
                <a:ext uri="{FF2B5EF4-FFF2-40B4-BE49-F238E27FC236}">
                  <a16:creationId xmlns:a16="http://schemas.microsoft.com/office/drawing/2014/main" id="{BFF39968-A717-4561-87F6-E28D057A5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6E1A24"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Figure 4</w:t>
      </w:r>
    </w:p>
    <w:p w14:paraId="13EDBB8F"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4.1.3 Marital Status of The Samples</w:t>
      </w:r>
    </w:p>
    <w:p w14:paraId="224126A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For older adults, marital status tends to be more closely linked to life satisfaction than for younger adults. Married older adults have higher levels of life satisfaction than those who are not married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{"citationItems":[{"id":"ITEM-1","itemData":{"author":[{"dropping-particle":"","family":"Mannel.R","given":"","non-dropping-particle":"","parse-names":false,"suffix":""}],"id":"ITEM-1","issued":{"date-parts":[["2020"]]},"title":"Marital Status - an overview | ScienceDirect Topics","type":"article-journal"},"uris":["http://www.mendeley.com/documents/?uuid=3c020565-5621-3d5b-9c92-0a28693b4a57"]}],"mendeley":{"formattedCitation":"(Mannel.R, 2020)","plainTextFormattedCitation":"(Mannel.R, 2020)","previouslyFormattedCitation":"(Mannel.R,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(Mannel.R,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3875B0DC"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Figure 4 </w:t>
      </w:r>
      <w:r w:rsidRPr="00703566">
        <w:rPr>
          <w:rFonts w:ascii="Times New Roman" w:eastAsia="Calibri" w:hAnsi="Times New Roman" w:cs="Times New Roman"/>
          <w:sz w:val="24"/>
          <w:szCs w:val="24"/>
        </w:rPr>
        <w:t xml:space="preserve">shows the marital status of the target group, in which majority of the people are married (68%) and 31% people are widowed. The remaining 1% are single. </w:t>
      </w:r>
    </w:p>
    <w:p w14:paraId="160EC4FC"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4FA7C1F3" w14:textId="77777777" w:rsidR="00703566" w:rsidRPr="00703566" w:rsidRDefault="00703566" w:rsidP="00703566">
      <w:pPr>
        <w:spacing w:line="480" w:lineRule="auto"/>
        <w:jc w:val="both"/>
        <w:rPr>
          <w:rFonts w:ascii="Times New Roman" w:eastAsia="Calibri" w:hAnsi="Times New Roman" w:cs="Times New Roman"/>
          <w:b/>
          <w:bCs/>
          <w:sz w:val="24"/>
          <w:szCs w:val="24"/>
        </w:rPr>
      </w:pPr>
    </w:p>
    <w:p w14:paraId="71C86F46"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noProof/>
          <w:sz w:val="24"/>
          <w:szCs w:val="24"/>
        </w:rPr>
        <w:lastRenderedPageBreak/>
        <w:drawing>
          <wp:inline distT="0" distB="0" distL="0" distR="0" wp14:anchorId="1284CDC9" wp14:editId="0BD75F34">
            <wp:extent cx="5146040" cy="2736272"/>
            <wp:effectExtent l="0" t="0" r="16510" b="6985"/>
            <wp:docPr id="34" name="Chart 34">
              <a:extLst xmlns:a="http://schemas.openxmlformats.org/drawingml/2006/main">
                <a:ext uri="{FF2B5EF4-FFF2-40B4-BE49-F238E27FC236}">
                  <a16:creationId xmlns:a16="http://schemas.microsoft.com/office/drawing/2014/main" id="{275804D0-97CD-4469-AC10-B6B22B2F1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61D521"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Figure 5  </w:t>
      </w:r>
    </w:p>
    <w:p w14:paraId="113A20D8"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4.1.4 Occupation of Elders </w:t>
      </w:r>
    </w:p>
    <w:p w14:paraId="7E0AA760"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Figure 5</w:t>
      </w:r>
      <w:r w:rsidRPr="00703566">
        <w:rPr>
          <w:rFonts w:ascii="Times New Roman" w:eastAsia="Calibri" w:hAnsi="Times New Roman" w:cs="Times New Roman"/>
          <w:sz w:val="24"/>
          <w:szCs w:val="24"/>
        </w:rPr>
        <w:t xml:space="preserve"> represent occupation of 100 geriatric people, in which 50 are males and 50 are females.  </w:t>
      </w:r>
      <w:bookmarkStart w:id="2" w:name="_Hlk68525653"/>
      <w:r w:rsidRPr="00703566">
        <w:rPr>
          <w:rFonts w:ascii="Times New Roman" w:eastAsia="Calibri" w:hAnsi="Times New Roman" w:cs="Times New Roman"/>
          <w:sz w:val="24"/>
          <w:szCs w:val="24"/>
        </w:rPr>
        <w:t>When women are compared to men, majority of men are working. Majority of the men about 65.71 per cent are working in the field of fishing</w:t>
      </w:r>
      <w:bookmarkEnd w:id="2"/>
      <w:r w:rsidRPr="00703566">
        <w:rPr>
          <w:rFonts w:ascii="Times New Roman" w:eastAsia="Calibri" w:hAnsi="Times New Roman" w:cs="Times New Roman"/>
          <w:sz w:val="24"/>
          <w:szCs w:val="24"/>
        </w:rPr>
        <w:t xml:space="preserve">. About 5.7 per cent are involved as merchants and about 28.50 per cent have no occupation. They depend on other family members for their needs. </w:t>
      </w:r>
      <w:bookmarkStart w:id="3" w:name="_Hlk68525751"/>
      <w:r w:rsidRPr="00703566">
        <w:rPr>
          <w:rFonts w:ascii="Times New Roman" w:eastAsia="Calibri" w:hAnsi="Times New Roman" w:cs="Times New Roman"/>
          <w:sz w:val="24"/>
          <w:szCs w:val="24"/>
        </w:rPr>
        <w:t>Among women, only 31.36 per cent are working</w:t>
      </w:r>
      <w:bookmarkEnd w:id="3"/>
      <w:r w:rsidRPr="00703566">
        <w:rPr>
          <w:rFonts w:ascii="Times New Roman" w:eastAsia="Calibri" w:hAnsi="Times New Roman" w:cs="Times New Roman"/>
          <w:sz w:val="24"/>
          <w:szCs w:val="24"/>
        </w:rPr>
        <w:t xml:space="preserve">. According to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{"citationItems":[{"id":"ITEM-1","itemData":{"DOI":"10.1136/oem.2005.023549","abstract":"Background: Several studies have reported predictors for loss of mobility and impairments of physical performance among frail elderly people. Aim: To evaluate the relationship between lifetime occupation and physical function in persons aged 80 years or older. Methods: Data are from baseline evaluation of 364 subjects enrolled in the ilSIRENTE study (a prospective cohort study performed in a mountain community in Central Italy). Physical performance was assessed using the physical performance battery score, which is based on three timed tests: 4-metre walking speed, balance, and chair stand tests. Muscle strength was measured by hand grip strength. Lifetime occupation was categorised as manual or non-manual work. Results: Mean age of participants was 85.9 (SD 4.9) years. Of the total sample, 273 subjects (75%) had a history of manual work and 91 subjects (25%) a history of non-manual work. Manual workers had significant lower grip strength and physical performance battery score (indicating worse performance) than non-manual workers. After adjustment for potential confounders (including age, gender, education, depression, cognitive performance scale score, physical activity, number of diseases, hearing impairment, history of alcohol abuse, smoking habit, and haemoglobin level), manual workers had significantly worse physical function (hand grip strength: non-manual workers 32.5 kg, SE 1.4, manual workers 28.2 kg, SE 0.8; physical performance battery score: non-manual workers 7.1, SE 0.4, manual workers 6.1, SE 0.2). Conclusions: A history of manual work, especially when associated with high physical stress, is independently associated with low physical function and muscle strength in older persons.","author":[{"dropping-particle":"","family":"Russo","given":"A","non-dropping-particle":"","parse-names":false,"suffix":""},{"dropping-particle":"","family":"Onder","given":"G","non-dropping-particle":"","parse-names":false,"suffix":""},{"dropping-particle":"","family":"Cesari","given":"M","non-dropping-particle":"","parse-names":false,"suffix":""},{"dropping-particle":"","family":"Zamboni","given":"V","non-dropping-particle":"","parse-names":false,"suffix":""},{"dropping-particle":"","family":"Barillaro","given":"C","non-dropping-particle":"","parse-names":false,"suffix":""},{"dropping-particle":"","family":"Capoluongo","given":"E","non-dropping-particle":"","parse-names":false,"suffix":""},{"dropping-particle":"","family":"Pahor","given":"M","non-dropping-particle":"","parse-names":false,"suffix":""},{"dropping-particle":"","family":"Bernabei","given":"R","non-dropping-particle":"","parse-names":false,"suffix":""},{"dropping-particle":"","family":"Landi","given":"F","non-dropping-particle":"","parse-names":false,"suffix":""}],"container-title":"Occup Environ Med","id":"ITEM-1","issued":{"date-parts":[["2006"]]},"page":"438-442","title":"Lifetime occupation and physical function: a prospective cohort study on persons aged 80 years and older living in a community","type":"article-journal","volume":"63"},"uris":["http://www.mendeley.com/documents/?uuid=5e67344e-eb1c-30cb-a9f3-49d2f907cd10"]}],"mendeley":{"formattedCitation":"(Russo et al., 2006)","manualFormatting":"Russo et al., (2006)","plainTextFormattedCitation":"(Russo et al., 2006)","previouslyFormattedCitation":"(Russo et al., 2006)"},"properties":{"noteIndex":0},"schema":"https://github.com/citation-style-language/schema/raw/master/csl-citation.json"}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Russo et al., (2006)</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several studies have found predictors of loss of mobility and physical fitness in vulnerable elderly people. Functional dependency has been shown to be more common in older people who have many chronic diseases, but there is a controversy in the case of selected male samples, in which majority of the people are working especially males and most of them are productive, independent and able to engage in occupational activities. </w:t>
      </w:r>
    </w:p>
    <w:p w14:paraId="79C414D1"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725F9B5F"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 </w:t>
      </w:r>
    </w:p>
    <w:p w14:paraId="58D878A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noProof/>
          <w:sz w:val="24"/>
          <w:szCs w:val="24"/>
        </w:rPr>
        <w:lastRenderedPageBreak/>
        <w:drawing>
          <wp:inline distT="0" distB="0" distL="0" distR="0" wp14:anchorId="606C16CB" wp14:editId="2DB35FD6">
            <wp:extent cx="4572000" cy="3108960"/>
            <wp:effectExtent l="0" t="0" r="0" b="15240"/>
            <wp:docPr id="35" name="Chart 35">
              <a:extLst xmlns:a="http://schemas.openxmlformats.org/drawingml/2006/main">
                <a:ext uri="{FF2B5EF4-FFF2-40B4-BE49-F238E27FC236}">
                  <a16:creationId xmlns:a16="http://schemas.microsoft.com/office/drawing/2014/main" id="{3E8106FA-F337-40C0-83A6-04BD671BD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03566">
        <w:rPr>
          <w:rFonts w:ascii="Times New Roman" w:eastAsia="Calibri" w:hAnsi="Times New Roman" w:cs="Times New Roman"/>
          <w:sz w:val="24"/>
          <w:szCs w:val="24"/>
        </w:rPr>
        <w:t xml:space="preserve"> </w:t>
      </w:r>
    </w:p>
    <w:p w14:paraId="039A9E14"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5DAF2A33"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Figure   6</w:t>
      </w:r>
    </w:p>
    <w:p w14:paraId="23F2C490"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4.1.5   Annual Income of Samples </w:t>
      </w:r>
    </w:p>
    <w:p w14:paraId="336BA094"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Figure </w:t>
      </w:r>
      <w:bookmarkStart w:id="4" w:name="_Hlk68525846"/>
      <w:r w:rsidRPr="00703566">
        <w:rPr>
          <w:rFonts w:ascii="Times New Roman" w:eastAsia="Calibri" w:hAnsi="Times New Roman" w:cs="Times New Roman"/>
          <w:b/>
          <w:bCs/>
          <w:sz w:val="24"/>
          <w:szCs w:val="24"/>
        </w:rPr>
        <w:t>6</w:t>
      </w:r>
      <w:r w:rsidRPr="00703566">
        <w:rPr>
          <w:rFonts w:ascii="Times New Roman" w:eastAsia="Calibri" w:hAnsi="Times New Roman" w:cs="Times New Roman"/>
          <w:sz w:val="24"/>
          <w:szCs w:val="24"/>
        </w:rPr>
        <w:t xml:space="preserve"> shows that majority of the people (80%) belongs to low income, 12% </w:t>
      </w:r>
      <w:proofErr w:type="gramStart"/>
      <w:r w:rsidRPr="00703566">
        <w:rPr>
          <w:rFonts w:ascii="Times New Roman" w:eastAsia="Calibri" w:hAnsi="Times New Roman" w:cs="Times New Roman"/>
          <w:sz w:val="24"/>
          <w:szCs w:val="24"/>
        </w:rPr>
        <w:t>in  high</w:t>
      </w:r>
      <w:proofErr w:type="gramEnd"/>
      <w:r w:rsidRPr="00703566">
        <w:rPr>
          <w:rFonts w:ascii="Times New Roman" w:eastAsia="Calibri" w:hAnsi="Times New Roman" w:cs="Times New Roman"/>
          <w:sz w:val="24"/>
          <w:szCs w:val="24"/>
        </w:rPr>
        <w:t xml:space="preserve"> income category and 7 % in middle income category. Majority of people depends on marine economy for their daily needs</w:t>
      </w:r>
      <w:bookmarkEnd w:id="4"/>
      <w:r w:rsidRPr="00703566">
        <w:rPr>
          <w:rFonts w:ascii="Times New Roman" w:eastAsia="Calibri" w:hAnsi="Times New Roman" w:cs="Times New Roman"/>
          <w:sz w:val="24"/>
          <w:szCs w:val="24"/>
        </w:rPr>
        <w:t xml:space="preserve">. The annual income of selected samples </w:t>
      </w:r>
      <w:proofErr w:type="gramStart"/>
      <w:r w:rsidRPr="00703566">
        <w:rPr>
          <w:rFonts w:ascii="Times New Roman" w:eastAsia="Calibri" w:hAnsi="Times New Roman" w:cs="Times New Roman"/>
          <w:sz w:val="24"/>
          <w:szCs w:val="24"/>
        </w:rPr>
        <w:t>are</w:t>
      </w:r>
      <w:proofErr w:type="gramEnd"/>
      <w:r w:rsidRPr="00703566">
        <w:rPr>
          <w:rFonts w:ascii="Times New Roman" w:eastAsia="Calibri" w:hAnsi="Times New Roman" w:cs="Times New Roman"/>
          <w:sz w:val="24"/>
          <w:szCs w:val="24"/>
        </w:rPr>
        <w:t xml:space="preserve"> measured according to their ration card (Government issued welfare card) and income certificate issued by concerned authorities.  According to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{"citationItems":[{"id":"ITEM-1","itemData":{"abstract":"Climate change, a global challenge facing mankind necessitates governments to develop mitigation and adaptation plans. The climate change has multidimensional impacts on environment, fishery, social, economic and development drivers. The perception level of the primary stakeholders leads to their proactive participation in disaster management plans. The present paper assessed the vulnerability of 318 fisher households in Alappuzha District of Kerala using PARS (parameter, attribute, resilient indicator and score) methodology. The methodology provides prioritisation and ranking of the different impacts as perceived by the fishers on environment, fishery and socioeconomic parameters. The vulnerability indices were worked out for the fisher households. The fisher's perception revealed that fishery was most impacted followed by economic and environmental impacts. Social impact was the least as opined by fishers. The study indicates that long term effects of climate change aren't realised/perceived/impacted much among the fisher households. The fishers were more prone to loss in fishing days due to erratic monsoon. The results suggest immediate need to improve the primary stakeholders awareness by involving them in disaster preparedness, management and mitigation planning as well as implementation process.","author":[{"dropping-particle":"","family":"Salim","given":"Shyam S","non-dropping-particle":"","parse-names":false,"suffix":""},{"dropping-particle":"","family":"Kripa","given":"V","non-dropping-particle":"","parse-names":false,"suffix":""},{"dropping-particle":"","family":"Zachariah","given":"P U","non-dropping-particle":"","parse-names":false,"suffix":""},{"dropping-particle":"","family":"Mohan","given":"Anjana","non-dropping-particle":"","parse-names":false,"suffix":""},{"dropping-particle":"V","family":"Ambrose","given":"T","non-dropping-particle":"","parse-names":false,"suffix":""},{"dropping-particle":"","family":"Rani","given":"Manju","non-dropping-particle":"","parse-names":false,"suffix":""}],"id":"ITEM-1","issue":"4","issued":{"date-parts":[["2014"]]},"number-of-pages":"99-104","title":"Vulnerability assessment of coastal fisher households in Kerala: A climate change perspective","type":"report","volume":"61"},"uris":["http://www.mendeley.com/documents/?uuid=542bb998-bc4e-31d1-be43-a4f420e6a266"]}],"mendeley":{"formattedCitation":"(Salim et al., 2014)","plainTextFormattedCitation":"(Salim et al., 2014)","previouslyFormattedCitation":"(Salim et al., 2014)"},"properties":{"noteIndex":0},"schema":"https://github.com/citation-style-language/schema/raw/master/csl-citation.json"}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(Salim et al., 2014)</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the nature and value of commercial fisheries can be affected by frequent adverse climate changes. Many artisanal fishermen are vulnerable and economically and politically oppressed. Many are marginalised and have limited access to healthcare and education because of their low-income status.</w:t>
      </w:r>
    </w:p>
    <w:p w14:paraId="42FC268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ab/>
      </w:r>
      <w:bookmarkStart w:id="5" w:name="_Hlk68526549"/>
      <w:r w:rsidRPr="00703566">
        <w:rPr>
          <w:rFonts w:ascii="Times New Roman" w:eastAsia="Calibri" w:hAnsi="Times New Roman" w:cs="Times New Roman"/>
          <w:sz w:val="24"/>
          <w:szCs w:val="24"/>
        </w:rPr>
        <w:t xml:space="preserve">Low income groups are  more susceptible to coronavirus infection because they had limited resources of COVID – 19 precaution measures such as health services, food supplements (immune boost food supplements), mask, sanitizers etc. and due to low income </w:t>
      </w:r>
      <w:r w:rsidRPr="00703566">
        <w:rPr>
          <w:rFonts w:ascii="Times New Roman" w:eastAsia="Calibri" w:hAnsi="Times New Roman" w:cs="Times New Roman"/>
          <w:sz w:val="24"/>
          <w:szCs w:val="24"/>
        </w:rPr>
        <w:lastRenderedPageBreak/>
        <w:t xml:space="preserve">status, they are forced to go out in pandemic situation for their daily needs, which in turn  may lead to corona virus infection </w:t>
      </w:r>
      <w:bookmarkEnd w:id="5"/>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{"citationItems":[{"id":"ITEM-1","itemData":{"author":[{"dropping-particle":"","family":"Angla","given":"Anesth","non-dropping-particle":"","parse-names":false,"suffix":""}],"id":"ITEM-1","issued":{"date-parts":[["0"]]},"title":"The COVID-19 Pandemic: Effects on Low- and Middle-Income Countries","type":"article-journal"},"uris":["http://www.mendeley.com/documents/?uuid=338e31e1-4d54-3a6d-a911-2c7107428fee"]}],"mendeley":{"formattedCitation":"(Angla, n.d.)","manualFormatting":"(Angla et al., 2020)","plainTextFormattedCitation":"(Angla, n.d.)","previouslyFormattedCitation":"(Angla, n.d.)"},"properties":{"noteIndex":0},"schema":"https://github.com/citation-style-language/schema/raw/master/csl-citation.json"}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(Angla et al.,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5E5FF8CA"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4.2 Anthropometric Measurement </w:t>
      </w:r>
    </w:p>
    <w:p w14:paraId="22D84A1B"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Frailty is common in the elderly population, and it is caused by a number of pathophysiological processes. It was also discovered that there is a strong link between frailty and weight loss, sarcopenia, obesity, body composition, and nutritional factors. Anthropometric measurements is a practical and simple method for assessing nutritional status, functional deterioration, and chronic health problems, all of which are significant risk factors for frailty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{"citationItems":[{"id":"ITEM-1","itemData":{"DOI":"10.1155/2017/8703503","ISSN":"1687-7063","abstract":"&lt;p&gt; &lt;italic&gt;Purpose&lt;/italic&gt; . Anthropometry is a useful tool for assessing some risk factors for frailty. Thus, the aim of this study was to verify the discriminatory performance of anthropometric measures in identifying frailty in the elderly and to create an easy-to-use tool. &lt;italic&gt;Methods&lt;/italic&gt; . Cross-sectional study: a subset from the Multidimensional Study of the Elderly in the Family Health Strategy (EMI-SUS) evaluating 538 older adults. Individuals were classified using the Fried Phenotype criteria, and 26 anthropometric measures were obtained. The predictive ability of anthropometric measures in identifying frailty was identified through logistic regression and an artificial neural network. The accuracy of the final models was assessed with an ROC curve. &lt;italic&gt;Results&lt;/italic&gt; . The final model comprised the following predictors: weight, waist circumference, bicipital skinfold, sagittal abdominal diameter, and age. The final neural network models presented a higher ROC curve of 0.78 (CI 95% 0.74–0.82) ( &lt;math id=\"M1\"&gt; &lt;mi&gt;P&lt;/mi&gt; &lt;mo&gt;&amp;lt;&lt;/mo&gt; &lt;mn fontstyle=\"italic\"&gt;0.001&lt;/mn&gt; &lt;/math&gt; ) than the logistic regression model, with an ROC curve of 0.71 (CI 95% 0.66–0.77) ( &lt;math id=\"M2\"&gt; &lt;mi&gt;P&lt;/mi&gt; &lt;mo&gt;&amp;lt;&lt;/mo&gt; &lt;mn fontstyle=\"italic\"&gt;0.001&lt;/mn&gt; &lt;/math&gt; ). &lt;italic&gt;Conclusion&lt;/italic&gt; . The neural network model provides a reliable tool for identifying prefrailty/frailty in the elderly, with the advantage of being easy to apply in the primary health care. It may help to provide timely interventions to ameliorate the risk of adverse events. &lt;/p&gt;","author":[{"dropping-particle":"","family":"Closs","given":"Vera Elizabeth","non-dropping-particle":"","parse-names":false,"suffix":""},{"dropping-particle":"","family":"Ziegelmann","given":"Patricia Klarmann","non-dropping-particle":"","parse-names":false,"suffix":""},{"dropping-particle":"","family":"Flores","given":"João Henrique Ferreira","non-dropping-particle":"","parse-names":false,"suffix":""},{"dropping-particle":"","family":"Gomes","given":"Irenio","non-dropping-particle":"","parse-names":false,"suffix":""},{"dropping-particle":"","family":"Schwanke","given":"Carla Helena Augustin","non-dropping-particle":"","parse-names":false,"suffix":""}],"container-title":"Current Gerontology and Geriatrics Research","id":"ITEM-1","issued":{"date-parts":[["2017"]]},"page":"1-8","publisher":"Hindawi Limited","title":"Anthropometric Measures and Frailty Prediction in the Elderly: An Easy-to-Use Tool","type":"article-journal","volume":"2017"},"uris":["http://www.mendeley.com/documents/?uuid=b0f23f2e-a79a-38cb-b046-0da4a6614f7e"]}],"mendeley":{"formattedCitation":"(Closs et al., 2017)","plainTextFormattedCitation":"(Closs et al., 2017)","previouslyFormattedCitation":"(Closs et al., 2017)"},"properties":{"noteIndex":0},"schema":"https://github.com/citation-style-language/schema/raw/master/csl-citation.json"}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(Closs et al., 2017)</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5E9FB6CA"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Anthropometric scales are an integral part of dietary evaluation in the elderly. Because of the changes in body structure that occur as in old age, anthropometric standards derived from adult populations may not be suitable for the elderly. For the elderly, specific anthropometric reference data is needed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{"citationItems":[{"id":"ITEM-1","itemData":{"DOI":"10.1079/BJN2001487","abstract":"In clinical practice and epidemiological surveys, anthropometric measurements represent an important component of nutritional assessment in the elderly. The anthropometric standards derived from adult populations may not be appropriate for the elderly because of body composition changes occurring during ageing. Specific anthropometric reference data for the elderly are necessary. In the present study we investigated anthropometric characteristics and their relationship to gender and age in a cross-sectional sample of 3356 subjects, randomly selected from an elderly Italian population. In both sexes, weight and height significantly decreased with age while knee height did not. The BMI was significantly higher in women than in men (27 : 6 SD 5 : 7 v. 26 : 4 SD 3 : 7; P,0 : 001) and it was lower in the oldest than in the youngest subjects (P,0 : 05) of both genders. The 75th year of age was a turning point for BMI as for other anthropometric measurements. According to BMI values, the prevalence of malnutrition was lower than 5 % in both genders, whereas obesity was shown to have a higher prevalence in women than in men (28 % v. 16 %; P,0 : 001). Waist circumference and waist : hip ratio values were higher for the youngest men than for the oldest men (P,0 : 05), whereas in women the waist : hip ratio values were higher in the oldest women, suggesting that visceral redistribution in old age predominantly affects females. In conclusion, in the elderly the oldest subjects showed a thinner body frame than the youngest of both genders, and there was a more marked fat redistribution in women.","author":[{"dropping-particle":"","family":"Perissinotto","given":"Egle","non-dropping-particle":"","parse-names":false,"suffix":""},{"dropping-particle":"","family":"Pisent","given":"Claudia","non-dropping-particle":"","parse-names":false,"suffix":""},{"dropping-particle":"","family":"Sergi","given":"Giuseppe","non-dropping-particle":"","parse-names":false,"suffix":""},{"dropping-particle":"","family":"Grigoletto","given":"Francesco","non-dropping-particle":"","parse-names":false,"suffix":""},{"dropping-particle":"","family":"Enzi","given":"Giuliano","non-dropping-particle":"","parse-names":false,"suffix":""}],"id":"ITEM-1","issued":{"date-parts":[["2021"]]},"title":"Anthropometric measurements in the elderly: age and gender differences","type":"article-journal"},"uris":["http://www.mendeley.com/documents/?uuid=94aaba15-bcb4-39bc-afc5-f24d8bd1d983"]}],"mendeley":{"formattedCitation":"(Perissinotto et al., 2021)","plainTextFormattedCitation":"(Perissinotto et al., 2021)","previouslyFormattedCitation":"(Perissinotto et al., 2021)"},"properties":{"noteIndex":0},"schema":"https://github.com/citation-style-language/schema/raw/master/csl-citation.json"}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(Perissinotto et al., 2021)</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w:t>
      </w:r>
    </w:p>
    <w:p w14:paraId="30343A13" w14:textId="77777777" w:rsidR="00703566" w:rsidRPr="00703566" w:rsidRDefault="00703566" w:rsidP="00703566">
      <w:pPr>
        <w:spacing w:line="480" w:lineRule="auto"/>
        <w:jc w:val="both"/>
        <w:rPr>
          <w:rFonts w:ascii="Times New Roman" w:eastAsia="Calibri" w:hAnsi="Times New Roman" w:cs="Times New Roman"/>
          <w:b/>
          <w:bCs/>
          <w:sz w:val="24"/>
          <w:szCs w:val="24"/>
        </w:rPr>
      </w:pPr>
    </w:p>
    <w:p w14:paraId="5EA4CACF" w14:textId="77777777" w:rsidR="00703566" w:rsidRPr="00703566" w:rsidRDefault="00703566" w:rsidP="00703566">
      <w:pPr>
        <w:spacing w:line="480" w:lineRule="auto"/>
        <w:ind w:left="1440" w:firstLine="720"/>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Table 4</w:t>
      </w:r>
    </w:p>
    <w:p w14:paraId="73055438"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4.2.1 Body Mass Index of the Target Group</w:t>
      </w:r>
    </w:p>
    <w:tbl>
      <w:tblPr>
        <w:tblStyle w:val="TableGrid2"/>
        <w:tblpPr w:leftFromText="180" w:rightFromText="180" w:vertAnchor="text" w:horzAnchor="margin" w:tblpXSpec="center" w:tblpY="190"/>
        <w:tblW w:w="8281" w:type="dxa"/>
        <w:tblLook w:val="04A0" w:firstRow="1" w:lastRow="0" w:firstColumn="1" w:lastColumn="0" w:noHBand="0" w:noVBand="1"/>
      </w:tblPr>
      <w:tblGrid>
        <w:gridCol w:w="1640"/>
        <w:gridCol w:w="1646"/>
        <w:gridCol w:w="1617"/>
        <w:gridCol w:w="1695"/>
        <w:gridCol w:w="1683"/>
      </w:tblGrid>
      <w:tr w:rsidR="00703566" w:rsidRPr="00703566" w14:paraId="10625881" w14:textId="77777777" w:rsidTr="008A6F48">
        <w:trPr>
          <w:trHeight w:val="1090"/>
        </w:trPr>
        <w:tc>
          <w:tcPr>
            <w:tcW w:w="1640" w:type="dxa"/>
          </w:tcPr>
          <w:p w14:paraId="2E7CCD33"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BMI</w:t>
            </w:r>
          </w:p>
        </w:tc>
        <w:tc>
          <w:tcPr>
            <w:tcW w:w="1646" w:type="dxa"/>
          </w:tcPr>
          <w:p w14:paraId="04D8E3E4"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Females </w:t>
            </w:r>
          </w:p>
        </w:tc>
        <w:tc>
          <w:tcPr>
            <w:tcW w:w="1617" w:type="dxa"/>
          </w:tcPr>
          <w:p w14:paraId="0FAB4473"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Males </w:t>
            </w:r>
          </w:p>
        </w:tc>
        <w:tc>
          <w:tcPr>
            <w:tcW w:w="1695" w:type="dxa"/>
          </w:tcPr>
          <w:p w14:paraId="386DA01B"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Number of respondents </w:t>
            </w:r>
          </w:p>
        </w:tc>
        <w:tc>
          <w:tcPr>
            <w:tcW w:w="1683" w:type="dxa"/>
          </w:tcPr>
          <w:p w14:paraId="60A40BB7"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Percentage </w:t>
            </w:r>
          </w:p>
        </w:tc>
      </w:tr>
      <w:tr w:rsidR="00703566" w:rsidRPr="00703566" w14:paraId="0E1894CC" w14:textId="77777777" w:rsidTr="008A6F48">
        <w:trPr>
          <w:trHeight w:val="637"/>
        </w:trPr>
        <w:tc>
          <w:tcPr>
            <w:tcW w:w="1640" w:type="dxa"/>
          </w:tcPr>
          <w:p w14:paraId="27EA0B5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Under weight </w:t>
            </w:r>
          </w:p>
        </w:tc>
        <w:tc>
          <w:tcPr>
            <w:tcW w:w="1646" w:type="dxa"/>
          </w:tcPr>
          <w:p w14:paraId="58C2684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w:t>
            </w:r>
          </w:p>
        </w:tc>
        <w:tc>
          <w:tcPr>
            <w:tcW w:w="1617" w:type="dxa"/>
          </w:tcPr>
          <w:p w14:paraId="3526DA1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w:t>
            </w:r>
          </w:p>
        </w:tc>
        <w:tc>
          <w:tcPr>
            <w:tcW w:w="1695" w:type="dxa"/>
          </w:tcPr>
          <w:p w14:paraId="2E8A431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19</w:t>
            </w:r>
          </w:p>
        </w:tc>
        <w:tc>
          <w:tcPr>
            <w:tcW w:w="1683" w:type="dxa"/>
          </w:tcPr>
          <w:p w14:paraId="093D41F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19</w:t>
            </w:r>
          </w:p>
        </w:tc>
      </w:tr>
      <w:tr w:rsidR="00703566" w:rsidRPr="00703566" w14:paraId="3C065690" w14:textId="77777777" w:rsidTr="008A6F48">
        <w:trPr>
          <w:trHeight w:val="624"/>
        </w:trPr>
        <w:tc>
          <w:tcPr>
            <w:tcW w:w="1640" w:type="dxa"/>
          </w:tcPr>
          <w:p w14:paraId="6011177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Normal </w:t>
            </w:r>
          </w:p>
        </w:tc>
        <w:tc>
          <w:tcPr>
            <w:tcW w:w="1646" w:type="dxa"/>
          </w:tcPr>
          <w:p w14:paraId="0ABD593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w:t>
            </w:r>
          </w:p>
        </w:tc>
        <w:tc>
          <w:tcPr>
            <w:tcW w:w="1617" w:type="dxa"/>
          </w:tcPr>
          <w:p w14:paraId="1D15576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24</w:t>
            </w:r>
          </w:p>
        </w:tc>
        <w:tc>
          <w:tcPr>
            <w:tcW w:w="1695" w:type="dxa"/>
          </w:tcPr>
          <w:p w14:paraId="56C7910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36</w:t>
            </w:r>
          </w:p>
        </w:tc>
        <w:tc>
          <w:tcPr>
            <w:tcW w:w="1683" w:type="dxa"/>
          </w:tcPr>
          <w:p w14:paraId="41141F6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36</w:t>
            </w:r>
          </w:p>
        </w:tc>
      </w:tr>
      <w:tr w:rsidR="00703566" w:rsidRPr="00703566" w14:paraId="1F77FBBA" w14:textId="77777777" w:rsidTr="008A6F48">
        <w:trPr>
          <w:trHeight w:val="637"/>
        </w:trPr>
        <w:tc>
          <w:tcPr>
            <w:tcW w:w="1640" w:type="dxa"/>
          </w:tcPr>
          <w:p w14:paraId="5A33B47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Over weight</w:t>
            </w:r>
          </w:p>
        </w:tc>
        <w:tc>
          <w:tcPr>
            <w:tcW w:w="1646" w:type="dxa"/>
          </w:tcPr>
          <w:p w14:paraId="0C9F377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14</w:t>
            </w:r>
          </w:p>
        </w:tc>
        <w:tc>
          <w:tcPr>
            <w:tcW w:w="1617" w:type="dxa"/>
          </w:tcPr>
          <w:p w14:paraId="53206C5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w:t>
            </w:r>
          </w:p>
        </w:tc>
        <w:tc>
          <w:tcPr>
            <w:tcW w:w="1695" w:type="dxa"/>
          </w:tcPr>
          <w:p w14:paraId="1DE9D6D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26</w:t>
            </w:r>
          </w:p>
        </w:tc>
        <w:tc>
          <w:tcPr>
            <w:tcW w:w="1683" w:type="dxa"/>
          </w:tcPr>
          <w:p w14:paraId="2EE4ED7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26</w:t>
            </w:r>
          </w:p>
        </w:tc>
      </w:tr>
      <w:tr w:rsidR="00703566" w:rsidRPr="00703566" w14:paraId="25272C35" w14:textId="77777777" w:rsidTr="008A6F48">
        <w:trPr>
          <w:trHeight w:val="637"/>
        </w:trPr>
        <w:tc>
          <w:tcPr>
            <w:tcW w:w="1640" w:type="dxa"/>
          </w:tcPr>
          <w:p w14:paraId="5900D93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Obesity </w:t>
            </w:r>
          </w:p>
        </w:tc>
        <w:tc>
          <w:tcPr>
            <w:tcW w:w="1646" w:type="dxa"/>
          </w:tcPr>
          <w:p w14:paraId="1099501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w:t>
            </w:r>
          </w:p>
        </w:tc>
        <w:tc>
          <w:tcPr>
            <w:tcW w:w="1617" w:type="dxa"/>
          </w:tcPr>
          <w:p w14:paraId="64A1948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w:t>
            </w:r>
          </w:p>
        </w:tc>
        <w:tc>
          <w:tcPr>
            <w:tcW w:w="1695" w:type="dxa"/>
          </w:tcPr>
          <w:p w14:paraId="25CB347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19</w:t>
            </w:r>
          </w:p>
        </w:tc>
        <w:tc>
          <w:tcPr>
            <w:tcW w:w="1683" w:type="dxa"/>
          </w:tcPr>
          <w:p w14:paraId="7FA9838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19</w:t>
            </w:r>
          </w:p>
        </w:tc>
      </w:tr>
      <w:tr w:rsidR="00703566" w:rsidRPr="00703566" w14:paraId="67EAB779" w14:textId="77777777" w:rsidTr="008A6F48">
        <w:trPr>
          <w:trHeight w:val="624"/>
        </w:trPr>
        <w:tc>
          <w:tcPr>
            <w:tcW w:w="1640" w:type="dxa"/>
          </w:tcPr>
          <w:p w14:paraId="6AD7AB38"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Total </w:t>
            </w:r>
          </w:p>
        </w:tc>
        <w:tc>
          <w:tcPr>
            <w:tcW w:w="1646" w:type="dxa"/>
          </w:tcPr>
          <w:p w14:paraId="6ED0657F"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617" w:type="dxa"/>
          </w:tcPr>
          <w:p w14:paraId="4BD2B78A"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695" w:type="dxa"/>
          </w:tcPr>
          <w:p w14:paraId="6DD81374"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100</w:t>
            </w:r>
          </w:p>
        </w:tc>
        <w:tc>
          <w:tcPr>
            <w:tcW w:w="1683" w:type="dxa"/>
          </w:tcPr>
          <w:p w14:paraId="156F3FAE"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100</w:t>
            </w:r>
          </w:p>
        </w:tc>
      </w:tr>
    </w:tbl>
    <w:p w14:paraId="328D7ED1"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lastRenderedPageBreak/>
        <w:t>Table 4</w:t>
      </w:r>
      <w:r w:rsidRPr="00703566">
        <w:rPr>
          <w:rFonts w:ascii="Times New Roman" w:eastAsia="Calibri" w:hAnsi="Times New Roman" w:cs="Times New Roman"/>
          <w:sz w:val="24"/>
          <w:szCs w:val="24"/>
        </w:rPr>
        <w:t xml:space="preserve"> shows that, 36% of the population is in normal state, of which 24 are males and 12 are females. 19% of the elder people are underweight, of which 7 are males and 12 are females. 26% of the samples are overweight in which 12 are males and 14 are females. 19% of the population are obesity, in which 7 are males and 12 are females. According to the information in this table, </w:t>
      </w:r>
      <w:bookmarkStart w:id="6" w:name="_Hlk68526788"/>
      <w:r w:rsidRPr="00703566">
        <w:rPr>
          <w:rFonts w:ascii="Times New Roman" w:eastAsia="Calibri" w:hAnsi="Times New Roman" w:cs="Times New Roman"/>
          <w:sz w:val="24"/>
          <w:szCs w:val="24"/>
        </w:rPr>
        <w:t>while comparing BMI, males are physically stable than</w:t>
      </w:r>
      <w:bookmarkEnd w:id="6"/>
      <w:r w:rsidRPr="00703566">
        <w:rPr>
          <w:rFonts w:ascii="Times New Roman" w:eastAsia="Calibri" w:hAnsi="Times New Roman" w:cs="Times New Roman"/>
          <w:sz w:val="24"/>
          <w:szCs w:val="24"/>
        </w:rPr>
        <w:t xml:space="preserve"> females. Physical wellbeing is depend upon their diet, life style, socio-economic status, morbidities associated with aging.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{"citationItems":[{"id":"ITEM-1","itemData":{"DOI":"10.1136/jech.2010.123232","abstract":"Background The impact of body mass index (BMI; kg/m 2) and waist circumference (WC) on mortality in elderly individuals is controversial and previous research has largely focused on obesity. Methods With special attention to the lower BMI categories, associations between BMI and both total and cause-specific mortality were explored in 7604 men and 9107 women aged $65 years who participated in the Tromsø Study (1994e1995) or the North-Trøndelag Health Study (1995e1997). A Cox proportional hazards model adjusted for age, marital status, education and smoking was used to estimate HRs for mortality in different BMI categories using the BMI range of 25e27.5 as a reference. The impact of each 2.5 kg/m 2 difference in BMI on mortality in individuals with BMI&lt;25.0 and BMI$25.0 was also explored. Furthermore, the relations between WC and mortality were assessed. Results We identified 7474 deaths during a mean follow-up of 9.3 years. The lowest mortality was found in the BMI range 25e29.9 and 25e32.4 in men and women, respectively. Mortality was increased in all BMI categories below 25 and was moderately increased in obese individuals. U-shaped relationships were also found between WC and total mortality. About 40% of the excess mortality in the lower BMI range in men was explained by mortality from respiratory diseases. Conclusions BMI below 25 in elderly men and women was associated with increased mortality. A modest increase in mortality was found with increasing BMI among obese men and women. Overweight individuals (BMI 25e29.9) had the lowest mortality.","author":[{"dropping-particle":"","family":"Kvamme","given":"Jan-Magnus","non-dropping-particle":"","parse-names":false,"suffix":""},{"dropping-particle":"","family":"Holmen","given":"Jostein","non-dropping-particle":"","parse-names":false,"suffix":""},{"dropping-particle":"","family":"Wilsgaard","given":"Tom","non-dropping-particle":"","parse-names":false,"suffix":""},{"dropping-particle":"","family":"Florholmen","given":"Jon","non-dropping-particle":"","parse-names":false,"suffix":""},{"dropping-particle":"","family":"Midthjell","given":"Kristian","non-dropping-particle":"","parse-names":false,"suffix":""},{"dropping-particle":"","family":"Jacobsen","given":"Bjarne K","non-dropping-particle":"","parse-names":false,"suffix":""}],"id":"ITEM-1","issued":{"date-parts":[["2011"]]},"title":"Body mass index and mortality in elderly men and women: the Tromsø and HUNT studies","type":"article-journal"},"uris":["http://www.mendeley.com/documents/?uuid=398161ab-91e2-3f8e-9c37-ab257297a696"]}],"mendeley":{"formattedCitation":"(Kvamme et al., 2011)","manualFormatting":"According to Kvamme et al.,2018","plainTextFormattedCitation":"(Kvamme et al., 2011)","previouslyFormattedCitation":"(Kvamme et al., 2011)"},"properties":{"noteIndex":0},"schema":"https://github.com/citation-style-language/schema/raw/master/csl-citation.json"}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According to Kvamme et al.,2018</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gender difference in health status in terms of BMI have been recorded in a variety of areas women had higher morbidity than men due to acute and chronic physical and mental illness.</w:t>
      </w:r>
    </w:p>
    <w:p w14:paraId="7946D3F1" w14:textId="77777777" w:rsidR="00703566" w:rsidRPr="00703566" w:rsidRDefault="00703566" w:rsidP="00703566">
      <w:pPr>
        <w:spacing w:line="480" w:lineRule="auto"/>
        <w:jc w:val="both"/>
        <w:rPr>
          <w:rFonts w:ascii="Times New Roman" w:eastAsia="Calibri" w:hAnsi="Times New Roman" w:cs="Times New Roman"/>
          <w:b/>
          <w:bCs/>
          <w:sz w:val="24"/>
          <w:szCs w:val="24"/>
        </w:rPr>
      </w:pPr>
    </w:p>
    <w:p w14:paraId="2D3DB159"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4.3 Physical Activity </w:t>
      </w:r>
    </w:p>
    <w:p w14:paraId="32C97348" w14:textId="77777777" w:rsidR="00703566" w:rsidRPr="00703566" w:rsidRDefault="00703566" w:rsidP="00703566">
      <w:pPr>
        <w:spacing w:line="480" w:lineRule="auto"/>
        <w:ind w:left="720" w:firstLine="720"/>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                            Table 5</w:t>
      </w:r>
    </w:p>
    <w:p w14:paraId="755863B9"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 Physical Activity of The Samples</w:t>
      </w:r>
    </w:p>
    <w:tbl>
      <w:tblPr>
        <w:tblStyle w:val="TableGrid2"/>
        <w:tblW w:w="0" w:type="auto"/>
        <w:jc w:val="center"/>
        <w:tblLook w:val="04A0" w:firstRow="1" w:lastRow="0" w:firstColumn="1" w:lastColumn="0" w:noHBand="0" w:noVBand="1"/>
      </w:tblPr>
      <w:tblGrid>
        <w:gridCol w:w="1786"/>
        <w:gridCol w:w="1287"/>
        <w:gridCol w:w="1515"/>
        <w:gridCol w:w="1813"/>
        <w:gridCol w:w="1836"/>
      </w:tblGrid>
      <w:tr w:rsidR="00703566" w:rsidRPr="00703566" w14:paraId="26A3B389" w14:textId="77777777" w:rsidTr="008A6F48">
        <w:trPr>
          <w:trHeight w:val="773"/>
          <w:jc w:val="center"/>
        </w:trPr>
        <w:tc>
          <w:tcPr>
            <w:tcW w:w="1786" w:type="dxa"/>
          </w:tcPr>
          <w:p w14:paraId="5AF6B6DA"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Mode of activity</w:t>
            </w:r>
          </w:p>
        </w:tc>
        <w:tc>
          <w:tcPr>
            <w:tcW w:w="1287" w:type="dxa"/>
          </w:tcPr>
          <w:p w14:paraId="45D1B2C5"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Females </w:t>
            </w:r>
          </w:p>
        </w:tc>
        <w:tc>
          <w:tcPr>
            <w:tcW w:w="1515" w:type="dxa"/>
          </w:tcPr>
          <w:p w14:paraId="18C406C9"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Males </w:t>
            </w:r>
          </w:p>
        </w:tc>
        <w:tc>
          <w:tcPr>
            <w:tcW w:w="1813" w:type="dxa"/>
          </w:tcPr>
          <w:p w14:paraId="334510FB"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Frequency </w:t>
            </w:r>
          </w:p>
        </w:tc>
        <w:tc>
          <w:tcPr>
            <w:tcW w:w="1836" w:type="dxa"/>
          </w:tcPr>
          <w:p w14:paraId="7BA93D5B"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Percentage </w:t>
            </w:r>
          </w:p>
        </w:tc>
      </w:tr>
      <w:tr w:rsidR="00703566" w:rsidRPr="00703566" w14:paraId="2A3DFACD" w14:textId="77777777" w:rsidTr="008A6F48">
        <w:trPr>
          <w:trHeight w:val="756"/>
          <w:jc w:val="center"/>
        </w:trPr>
        <w:tc>
          <w:tcPr>
            <w:tcW w:w="1786" w:type="dxa"/>
          </w:tcPr>
          <w:p w14:paraId="712B62C3"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Heavy </w:t>
            </w:r>
          </w:p>
        </w:tc>
        <w:tc>
          <w:tcPr>
            <w:tcW w:w="1287" w:type="dxa"/>
          </w:tcPr>
          <w:p w14:paraId="2878C46F"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12</w:t>
            </w:r>
          </w:p>
        </w:tc>
        <w:tc>
          <w:tcPr>
            <w:tcW w:w="1515" w:type="dxa"/>
          </w:tcPr>
          <w:p w14:paraId="3C1497E3"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36</w:t>
            </w:r>
          </w:p>
        </w:tc>
        <w:tc>
          <w:tcPr>
            <w:tcW w:w="1813" w:type="dxa"/>
          </w:tcPr>
          <w:p w14:paraId="7D13B6D4"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48</w:t>
            </w:r>
          </w:p>
        </w:tc>
        <w:tc>
          <w:tcPr>
            <w:tcW w:w="1836" w:type="dxa"/>
          </w:tcPr>
          <w:p w14:paraId="7859DB46"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48</w:t>
            </w:r>
          </w:p>
        </w:tc>
      </w:tr>
      <w:tr w:rsidR="00703566" w:rsidRPr="00703566" w14:paraId="396B9936" w14:textId="77777777" w:rsidTr="008A6F48">
        <w:trPr>
          <w:trHeight w:val="773"/>
          <w:jc w:val="center"/>
        </w:trPr>
        <w:tc>
          <w:tcPr>
            <w:tcW w:w="1786" w:type="dxa"/>
          </w:tcPr>
          <w:p w14:paraId="26CB5361"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Moderate </w:t>
            </w:r>
          </w:p>
        </w:tc>
        <w:tc>
          <w:tcPr>
            <w:tcW w:w="1287" w:type="dxa"/>
          </w:tcPr>
          <w:p w14:paraId="614A7FF6"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8</w:t>
            </w:r>
          </w:p>
        </w:tc>
        <w:tc>
          <w:tcPr>
            <w:tcW w:w="1515" w:type="dxa"/>
          </w:tcPr>
          <w:p w14:paraId="021BE467"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3</w:t>
            </w:r>
          </w:p>
        </w:tc>
        <w:tc>
          <w:tcPr>
            <w:tcW w:w="1813" w:type="dxa"/>
          </w:tcPr>
          <w:p w14:paraId="0315E357"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11</w:t>
            </w:r>
          </w:p>
        </w:tc>
        <w:tc>
          <w:tcPr>
            <w:tcW w:w="1836" w:type="dxa"/>
          </w:tcPr>
          <w:p w14:paraId="79BF429E"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11</w:t>
            </w:r>
          </w:p>
        </w:tc>
      </w:tr>
      <w:tr w:rsidR="00703566" w:rsidRPr="00703566" w14:paraId="5E1732FB" w14:textId="77777777" w:rsidTr="008A6F48">
        <w:trPr>
          <w:trHeight w:val="773"/>
          <w:jc w:val="center"/>
        </w:trPr>
        <w:tc>
          <w:tcPr>
            <w:tcW w:w="1786" w:type="dxa"/>
          </w:tcPr>
          <w:p w14:paraId="6FE17B84"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Sedentary</w:t>
            </w:r>
          </w:p>
        </w:tc>
        <w:tc>
          <w:tcPr>
            <w:tcW w:w="1287" w:type="dxa"/>
          </w:tcPr>
          <w:p w14:paraId="384C5B0F"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30</w:t>
            </w:r>
          </w:p>
        </w:tc>
        <w:tc>
          <w:tcPr>
            <w:tcW w:w="1515" w:type="dxa"/>
          </w:tcPr>
          <w:p w14:paraId="644E1BB3"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11</w:t>
            </w:r>
          </w:p>
        </w:tc>
        <w:tc>
          <w:tcPr>
            <w:tcW w:w="1813" w:type="dxa"/>
          </w:tcPr>
          <w:p w14:paraId="23898649"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41</w:t>
            </w:r>
          </w:p>
        </w:tc>
        <w:tc>
          <w:tcPr>
            <w:tcW w:w="1836" w:type="dxa"/>
          </w:tcPr>
          <w:p w14:paraId="6DF15357"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41</w:t>
            </w:r>
          </w:p>
        </w:tc>
      </w:tr>
      <w:tr w:rsidR="00703566" w:rsidRPr="00703566" w14:paraId="74A3C103" w14:textId="77777777" w:rsidTr="008A6F48">
        <w:trPr>
          <w:trHeight w:val="766"/>
          <w:jc w:val="center"/>
        </w:trPr>
        <w:tc>
          <w:tcPr>
            <w:tcW w:w="1786" w:type="dxa"/>
          </w:tcPr>
          <w:p w14:paraId="3B0BA31F"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Total</w:t>
            </w:r>
          </w:p>
        </w:tc>
        <w:tc>
          <w:tcPr>
            <w:tcW w:w="1287" w:type="dxa"/>
          </w:tcPr>
          <w:p w14:paraId="487DB13B"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50</w:t>
            </w:r>
          </w:p>
        </w:tc>
        <w:tc>
          <w:tcPr>
            <w:tcW w:w="1515" w:type="dxa"/>
          </w:tcPr>
          <w:p w14:paraId="1904FD87"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50</w:t>
            </w:r>
          </w:p>
        </w:tc>
        <w:tc>
          <w:tcPr>
            <w:tcW w:w="1813" w:type="dxa"/>
          </w:tcPr>
          <w:p w14:paraId="6F7ED664"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100</w:t>
            </w:r>
          </w:p>
        </w:tc>
        <w:tc>
          <w:tcPr>
            <w:tcW w:w="1836" w:type="dxa"/>
          </w:tcPr>
          <w:p w14:paraId="6FF3BCED"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100</w:t>
            </w:r>
          </w:p>
        </w:tc>
      </w:tr>
    </w:tbl>
    <w:p w14:paraId="4930861A"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65957094"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Table 5 </w:t>
      </w:r>
      <w:r w:rsidRPr="00703566">
        <w:rPr>
          <w:rFonts w:ascii="Times New Roman" w:eastAsia="Calibri" w:hAnsi="Times New Roman" w:cs="Times New Roman"/>
          <w:sz w:val="24"/>
          <w:szCs w:val="24"/>
        </w:rPr>
        <w:t xml:space="preserve">shows </w:t>
      </w:r>
      <w:bookmarkStart w:id="7" w:name="_Hlk68526952"/>
      <w:r w:rsidRPr="00703566">
        <w:rPr>
          <w:rFonts w:ascii="Times New Roman" w:eastAsia="Calibri" w:hAnsi="Times New Roman" w:cs="Times New Roman"/>
          <w:sz w:val="24"/>
          <w:szCs w:val="24"/>
        </w:rPr>
        <w:t>that,48% people do heavy work,</w:t>
      </w:r>
      <w:bookmarkEnd w:id="7"/>
      <w:r w:rsidRPr="00703566">
        <w:rPr>
          <w:rFonts w:ascii="Times New Roman" w:eastAsia="Calibri" w:hAnsi="Times New Roman" w:cs="Times New Roman"/>
          <w:sz w:val="24"/>
          <w:szCs w:val="24"/>
        </w:rPr>
        <w:t xml:space="preserve">11% of the people moderate activity and 41% lead a sedentary life. Sedentary behaviour is defined as any waking behaviour that is </w:t>
      </w:r>
      <w:r w:rsidRPr="00703566">
        <w:rPr>
          <w:rFonts w:ascii="Times New Roman" w:eastAsia="Calibri" w:hAnsi="Times New Roman" w:cs="Times New Roman"/>
          <w:sz w:val="24"/>
          <w:szCs w:val="24"/>
        </w:rPr>
        <w:lastRenderedPageBreak/>
        <w:t xml:space="preserve">characterised by low energy expenditure while sitting or reclining. Longer periods of sedentary behaviour have been linked to increased obesity, type 2 diabetes, decreased bone density, cardiovascular disease, and mortality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{"citationItems":[{"id":"ITEM-1","itemData":{"DOI":"10.1177/2158244015624130","author":[{"dropping-particle":"","family":"Pathan","given":"Sanjeev Bakshi and Prasanta","non-dropping-particle":"","parse-names":false,"suffix":""}],"id":"ITEM-1","issued":{"date-parts":[["0"]]},"title":"Aging and the Socioeconomic Life of Older Adults in India: An Empirical Exposition","type":"article-journal"},"uris":["http://www.mendeley.com/documents/?uuid=5ab92831-e1d6-383a-8834-5500ac3c9436"]}],"mendeley":{"formattedCitation":"(Pathan, n.d.)","manualFormatting":"(Pathan et al.,2016)","plainTextFormattedCitation":"(Pathan, n.d.)","previouslyFormattedCitation":"(Pathan, n.d.)"},"properties":{"noteIndex":0},"schema":"https://github.com/citation-style-language/schema/raw/master/csl-citation.json"}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(Pathan et al.,2016)</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 According to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{"citationItems":[{"id":"ITEM-1","itemData":{"DOI":"10.1136/jech.2010.123232","abstract":"Background The impact of body mass index (BMI; kg/m 2) and waist circumference (WC) on mortality in elderly individuals is controversial and previous research has largely focused on obesity. Methods With special attention to the lower BMI categories, associations between BMI and both total and cause-specific mortality were explored in 7604 men and 9107 women aged $65 years who participated in the Tromsø Study (1994e1995) or the North-Trøndelag Health Study (1995e1997). A Cox proportional hazards model adjusted for age, marital status, education and smoking was used to estimate HRs for mortality in different BMI categories using the BMI range of 25e27.5 as a reference. The impact of each 2.5 kg/m 2 difference in BMI on mortality in individuals with BMI&lt;25.0 and BMI$25.0 was also explored. Furthermore, the relations between WC and mortality were assessed. Results We identified 7474 deaths during a mean follow-up of 9.3 years. The lowest mortality was found in the BMI range 25e29.9 and 25e32.4 in men and women, respectively. Mortality was increased in all BMI categories below 25 and was moderately increased in obese individuals. U-shaped relationships were also found between WC and total mortality. About 40% of the excess mortality in the lower BMI range in men was explained by mortality from respiratory diseases. Conclusions BMI below 25 in elderly men and women was associated with increased mortality. A modest increase in mortality was found with increasing BMI among obese men and women. Overweight individuals (BMI 25e29.9) had the lowest mortality.","author":[{"dropping-particle":"","family":"Kvamme","given":"Jan-Magnus","non-dropping-particle":"","parse-names":false,"suffix":""},{"dropping-particle":"","family":"Holmen","given":"Jostein","non-dropping-particle":"","parse-names":false,"suffix":""},{"dropping-particle":"","family":"Wilsgaard","given":"Tom","non-dropping-particle":"","parse-names":false,"suffix":""},{"dropping-particle":"","family":"Florholmen","given":"Jon","non-dropping-particle":"","parse-names":false,"suffix":""},{"dropping-particle":"","family":"Midthjell","given":"Kristian","non-dropping-particle":"","parse-names":false,"suffix":""},{"dropping-particle":"","family":"Jacobsen","given":"Bjarne K","non-dropping-particle":"","parse-names":false,"suffix":""}],"id":"ITEM-1","issued":{"date-parts":[["2011"]]},"title":"Body mass index and mortality in elderly men and women: the Tromsø and HUNT studies","type":"article-journal"},"uris":["http://www.mendeley.com/documents/?uuid=398161ab-91e2-3f8e-9c37-ab257297a696"]}],"mendeley":{"formattedCitation":"(Kvamme et al., 2011)","manualFormatting":"Kvamme et al., (2011)","plainTextFormattedCitation":"(Kvamme et al., 2011)","previouslyFormattedCitation":"(Kvamme et al., 2011)"},"properties":{"noteIndex":0},"schema":"https://github.com/citation-style-language/schema/raw/master/csl-citation.json"}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Kvamme et al., (2011)</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sedentary behaviour of elder people depends up on the quality of life of elder people. </w:t>
      </w:r>
      <w:proofErr w:type="gramStart"/>
      <w:r w:rsidRPr="00703566">
        <w:rPr>
          <w:rFonts w:ascii="Times New Roman" w:eastAsia="Calibri" w:hAnsi="Times New Roman" w:cs="Times New Roman"/>
          <w:sz w:val="24"/>
          <w:szCs w:val="24"/>
        </w:rPr>
        <w:t>In  selected</w:t>
      </w:r>
      <w:proofErr w:type="gramEnd"/>
      <w:r w:rsidRPr="00703566">
        <w:rPr>
          <w:rFonts w:ascii="Times New Roman" w:eastAsia="Calibri" w:hAnsi="Times New Roman" w:cs="Times New Roman"/>
          <w:sz w:val="24"/>
          <w:szCs w:val="24"/>
        </w:rPr>
        <w:t xml:space="preserve"> population most of the people lead a sedentary life style because their quality of life was poor  compared to other age group.</w:t>
      </w:r>
    </w:p>
    <w:p w14:paraId="310CD581"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54677361"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1FC22EF3"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778FEA87" w14:textId="77777777" w:rsidR="00703566" w:rsidRPr="00703566" w:rsidRDefault="00703566" w:rsidP="00703566">
      <w:pPr>
        <w:spacing w:line="480" w:lineRule="auto"/>
        <w:jc w:val="center"/>
        <w:rPr>
          <w:rFonts w:ascii="Times New Roman" w:eastAsia="Calibri" w:hAnsi="Times New Roman" w:cs="Times New Roman"/>
          <w:sz w:val="24"/>
          <w:szCs w:val="24"/>
        </w:rPr>
      </w:pPr>
      <w:r w:rsidRPr="00703566">
        <w:rPr>
          <w:rFonts w:ascii="Times New Roman" w:eastAsia="Calibri" w:hAnsi="Times New Roman" w:cs="Times New Roman"/>
          <w:noProof/>
          <w:sz w:val="24"/>
          <w:szCs w:val="24"/>
        </w:rPr>
        <w:drawing>
          <wp:inline distT="0" distB="0" distL="0" distR="0" wp14:anchorId="55705268" wp14:editId="51164C6D">
            <wp:extent cx="5093970" cy="2865120"/>
            <wp:effectExtent l="0" t="0" r="11430" b="11430"/>
            <wp:docPr id="11" name="Chart 11">
              <a:extLst xmlns:a="http://schemas.openxmlformats.org/drawingml/2006/main">
                <a:ext uri="{FF2B5EF4-FFF2-40B4-BE49-F238E27FC236}">
                  <a16:creationId xmlns:a16="http://schemas.microsoft.com/office/drawing/2014/main" id="{5A6B9956-D391-47A2-9564-8B90C9613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253D78"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Figure 7</w:t>
      </w:r>
    </w:p>
    <w:p w14:paraId="1AB40B53"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   Mode of Transmission of Corona Virus Infection Among Target Group</w:t>
      </w:r>
    </w:p>
    <w:p w14:paraId="082323C1"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Figure </w:t>
      </w:r>
      <w:bookmarkStart w:id="8" w:name="_Hlk68527110"/>
      <w:r w:rsidRPr="00703566">
        <w:rPr>
          <w:rFonts w:ascii="Times New Roman" w:eastAsia="Calibri" w:hAnsi="Times New Roman" w:cs="Times New Roman"/>
          <w:b/>
          <w:bCs/>
          <w:sz w:val="24"/>
          <w:szCs w:val="24"/>
        </w:rPr>
        <w:t>7</w:t>
      </w:r>
      <w:r w:rsidRPr="00703566">
        <w:rPr>
          <w:rFonts w:ascii="Times New Roman" w:eastAsia="Calibri" w:hAnsi="Times New Roman" w:cs="Times New Roman"/>
          <w:sz w:val="24"/>
          <w:szCs w:val="24"/>
        </w:rPr>
        <w:t xml:space="preserve"> shows the mode of transmission of corona virus among target group, based on this figure, close contact is the most common mode of transmission of COVID 19, with about 63%, </w:t>
      </w:r>
      <w:bookmarkEnd w:id="8"/>
      <w:r w:rsidRPr="00703566">
        <w:rPr>
          <w:rFonts w:ascii="Times New Roman" w:eastAsia="Calibri" w:hAnsi="Times New Roman" w:cs="Times New Roman"/>
          <w:sz w:val="24"/>
          <w:szCs w:val="24"/>
        </w:rPr>
        <w:t xml:space="preserve">27% spread from work places and remaining 11% spread by traveling from place to place. Recent studies shows that uprise of corona virus among geriatric people is due to the </w:t>
      </w:r>
      <w:r w:rsidRPr="00703566">
        <w:rPr>
          <w:rFonts w:ascii="Times New Roman" w:eastAsia="Calibri" w:hAnsi="Times New Roman" w:cs="Times New Roman"/>
          <w:sz w:val="24"/>
          <w:szCs w:val="24"/>
        </w:rPr>
        <w:lastRenderedPageBreak/>
        <w:t>immunocompetency and psychological factors of the people. Most of the people does not go outside, and spend most of the time at home. The close contact with infected person in family or colleagues in work place might have induced the chance of corona virus infection among geriatric people.</w:t>
      </w:r>
    </w:p>
    <w:p w14:paraId="471F6A38"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1B3ACEA6" w14:textId="77777777" w:rsidR="00703566" w:rsidRPr="00703566" w:rsidRDefault="00703566" w:rsidP="00703566">
      <w:pPr>
        <w:spacing w:line="480" w:lineRule="auto"/>
        <w:jc w:val="center"/>
        <w:rPr>
          <w:rFonts w:ascii="Times New Roman" w:eastAsia="Calibri" w:hAnsi="Times New Roman" w:cs="Times New Roman"/>
          <w:sz w:val="24"/>
          <w:szCs w:val="24"/>
        </w:rPr>
      </w:pPr>
      <w:r w:rsidRPr="00703566">
        <w:rPr>
          <w:rFonts w:ascii="Times New Roman" w:eastAsia="Calibri" w:hAnsi="Times New Roman" w:cs="Times New Roman"/>
          <w:noProof/>
          <w:sz w:val="24"/>
          <w:szCs w:val="24"/>
        </w:rPr>
        <w:drawing>
          <wp:inline distT="0" distB="0" distL="0" distR="0" wp14:anchorId="5F7ED9F9" wp14:editId="207D0046">
            <wp:extent cx="5521036" cy="27495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3586" cy="2755800"/>
                    </a:xfrm>
                    <a:prstGeom prst="rect">
                      <a:avLst/>
                    </a:prstGeom>
                    <a:noFill/>
                  </pic:spPr>
                </pic:pic>
              </a:graphicData>
            </a:graphic>
          </wp:inline>
        </w:drawing>
      </w:r>
    </w:p>
    <w:p w14:paraId="3A1663C9"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Figure 8</w:t>
      </w:r>
    </w:p>
    <w:p w14:paraId="07FEF9AE"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4.4.2 Symptoms Associated with Covid 19 Among Geriatric</w:t>
      </w:r>
    </w:p>
    <w:p w14:paraId="5BBD2BA7"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Figure </w:t>
      </w:r>
      <w:bookmarkStart w:id="9" w:name="_Hlk68527280"/>
      <w:r w:rsidRPr="00703566">
        <w:rPr>
          <w:rFonts w:ascii="Times New Roman" w:eastAsia="Calibri" w:hAnsi="Times New Roman" w:cs="Times New Roman"/>
          <w:b/>
          <w:bCs/>
          <w:sz w:val="24"/>
          <w:szCs w:val="24"/>
        </w:rPr>
        <w:t>8</w:t>
      </w:r>
      <w:r w:rsidRPr="00703566">
        <w:rPr>
          <w:rFonts w:ascii="Times New Roman" w:eastAsia="Calibri" w:hAnsi="Times New Roman" w:cs="Times New Roman"/>
          <w:sz w:val="24"/>
          <w:szCs w:val="24"/>
        </w:rPr>
        <w:t xml:space="preserve"> shows that, about 61 of the samples have both fever and loss of smell and taste,52 of target group suffered from tiredness, 49 of elder people with dry cough, 38 of people with head ache and 35 people from diarrhoea. Very few samples suffered from symptoms like difficulty to breath, chest pain and loss of speech or movement associated with COVID 19 in selected samples. </w:t>
      </w:r>
    </w:p>
    <w:bookmarkEnd w:id="9"/>
    <w:p w14:paraId="03407C4A"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In a study conducted by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{"citationItems":[{"id":"ITEM-1","itemData":{"DOI":"10.1007/s00405-020-05965-1","ISSN":"14344726","abstract":"Objective: To investigate the occurrence of olfactory and gustatory dysfunctions in patients with laboratory-confirmed COVID-19 infection. Methods: Patients with laboratory-confirmed COVID-19 infection were recruited from 12 European hospitals. The following epidemiological and clinical outcomes have been studied: age, sex, ethnicity, comorbidities, and general and otolaryngological symptoms. Patients completed olfactory and gustatory questionnaires based on the smell and taste component of the National Health and Nutrition Examination Survey, and the short version of the Questionnaire of Olfactory Disorders-Negative Statements (sQOD-NS). Results: A total of 417 mild-to-moderate COVID-19 patients completed the study (263 females). The most prevalent general symptoms consisted of cough, myalgia, and loss of appetite. Face pain and nasal obstruction were the most disease-related otolaryngological symptoms. 85.6% and 88.0% of patients reported olfactory and gustatory dysfunctions, respectively. There was a significant association between both disorders (p &lt; 0.001). Olfactory dysfunction (OD) appeared before the other symptoms in 11.8% of cases. The sQO-NS scores were significantly lower in patients with anosmia compared with normosmic or hyposmic individuals (p = 0.001). Among the 18.2% of patients without nasal obstruction or rhinorrhea, 79.7% were hyposmic or anosmic. The early olfactory recovery rate was 44.0%. Females were significantly more affected by olfactory and gustatory dysfunctions than males (p = 0.001). Conclusion: Olfactory and gustatory disorders are prevalent symptoms in European COVID-19 patients, who may not have nasal symptoms. The sudden anosmia or ageusia need to be recognized by the international scientific community as important symptoms of the COVID-19 infection.","author":[{"dropping-particle":"","family":"Lechien","given":"Jerome R.","non-dropping-particle":"","parse-names":false,"suffix":""},{"dropping-particle":"","family":"Chiesa-Estomba","given":"Carlos M.","non-dropping-particle":"","parse-names":false,"suffix":""},{"dropping-particle":"","family":"Siati","given":"Daniele R.","non-dropping-particle":"De","parse-names":false,"suffix":""},{"dropping-particle":"","family":"Horoi","given":"Mihaela","non-dropping-particle":"","parse-names":false,"suffix":""},{"dropping-particle":"","family":"Bon","given":"Serge D.","non-dropping-particle":"Le","parse-names":false,"suffix":""},{"dropping-particle":"","family":"Rodriguez","given":"Alexandra","non-dropping-particle":"","parse-names":false,"suffix":""},{"dropping-particle":"","family":"Dequanter","given":"Didier","non-dropping-particle":"","parse-names":false,"suffix":""},{"dropping-particle":"","family":"Blecic","given":"Serge","non-dropping-particle":"","parse-names":false,"suffix":""},{"dropping-particle":"","family":"Afia","given":"Fahd","non-dropping-particle":"El","parse-names":false,"suffix":""},{"dropping-particle":"","family":"Distinguin","given":"Lea","non-dropping-particle":"","parse-names":false,"suffix":""},{"dropping-particle":"","family":"Chekkoury-Idrissi","given":"Younes","non-dropping-particle":"","parse-names":false,"suffix":""},{"dropping-particle":"","family":"Hans","given":"Stéphane","non-dropping-particle":"","parse-names":false,"suffix":""},{"dropping-particle":"","family":"Delgado","given":"Irene Lopez","non-dropping-particle":"","parse-names":false,"suffix":""},{"dropping-particle":"","family":"Calvo-Henriquez","given":"Christian","non-dropping-particle":"","parse-names":false,"suffix":""},{"dropping-particle":"","family":"Lavigne","given":"Philippe","non-dropping-particle":"","parse-names":false,"suffix":""},{"dropping-particle":"","family":"Falanga","given":"Chiara","non-dropping-particle":"","parse-names":false,"suffix":""},{"dropping-particle":"","family":"Barillari","given":"Maria Rosaria","non-dropping-particle":"","parse-names":false,"suffix":""},{"dropping-particle":"","family":"Cammaroto","given":"Giovanni","non-dropping-particle":"","parse-names":false,"suffix":""},{"dropping-particle":"","family":"Khalife","given":"Mohamad","non-dropping-particle":"","parse-names":false,"suffix":""},{"dropping-particle":"","family":"Leich","given":"Pierre","non-dropping-particle":"","parse-names":false,"suffix":""},{"dropping-particle":"","family":"Souchay","given":"Christel","non-dropping-particle":"","parse-names":false,"suffix":""},{"dropping-particle":"","family":"Rossi","given":"Camelia","non-dropping-particle":"","parse-names":false,"suffix":""},{"dropping-particle":"","family":"Journe","given":"Fabrice","non-dropping-particle":"","parse-names":false,"suffix":""},{"dropping-particle":"","family":"Hsieh","given":"Julien","non-dropping-particle":"","parse-names":false,"suffix":""},{"dropping-particle":"","family":"Edjlali","given":"Myriam","non-dropping-particle":"","parse-names":false,"suffix":""},{"dropping-particle":"","family":"Carlier","given":"Robert","non-dropping-particle":"","parse-names":false,"suffix":""},{"dropping-particle":"","family":"Ris","given":"Laurence","non-dropping-particle":"","parse-names":false,"suffix":""},{"dropping-particle":"","family":"Lovato","given":"Andrea","non-dropping-particle":"","parse-names":false,"suffix":""},{"dropping-particle":"","family":"Filippis","given":"Cosimo","non-dropping-particle":"De","parse-names":false,"suffix":""},{"dropping-particle":"","family":"Coppee","given":"Frederique","non-dropping-particle":"","parse-names":false,"suffix":""},{"dropping-particle":"","family":"Fakhry","given":"Nicolas","non-dropping-particle":"","parse-names":false,"suffix":""},{"dropping-particle":"","family":"Ayad","given":"Tareck","non-dropping-particle":"","parse-names":false,"suffix":""},{"dropping-particle":"","family":"Saussez","given":"Sven","non-dropping-particle":"","parse-names":false,"suffix":""}],"container-title":"European Archives of Oto-Rhino-Laryngology","id":"ITEM-1","issue":"8","issued":{"date-parts":[["2020"]]},"title":"Olfactory and gustatory dysfunctions as a clinical presentation of mild-to-moderate forms of the coronavirus disease (COVID-19): a multicenter European study","type":"article-journal","volume":"277"},"uris":["http://www.mendeley.com/documents/?uuid=c01b2c90-d804-30af-bcb1-09d0cf974424"]}],"mendeley":{"formattedCitation":"(Lechien et al., 2020)","manualFormatting":" Lechien et al.,2020)","plainTextFormattedCitation":"(Lechien et al., 2020)","previouslyFormattedCitation":"(Lechien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 xml:space="preserve"> Lechien et al.,2020)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gustatory disorders were identified among 88.8% of  COVID 19 patients, and were described as impairment in the taste modalities of salt, sweet, bitter, and sour. The study concluded that there is relationship between gustatory dysfunction </w:t>
      </w:r>
      <w:r w:rsidRPr="00703566">
        <w:rPr>
          <w:rFonts w:ascii="Times New Roman" w:eastAsia="Calibri" w:hAnsi="Times New Roman" w:cs="Times New Roman"/>
          <w:sz w:val="24"/>
          <w:szCs w:val="24"/>
        </w:rPr>
        <w:lastRenderedPageBreak/>
        <w:t xml:space="preserve">and comorbidities that may induce poor nutritional status among COVID 19 patients.  Fever, cough, headache, diarrhoea were the major complaints among geriatric people. According to the study cough (56.6 percent), fatigue (56.6 percent), taste disease (35.7 percent), myalgia (34.3 percent), and fever (33.6 percent) were the most common symptoms in the COVID-19 patients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{"citationItems":[{"id":"ITEM-1","itemData":{"DOI":"10.1007/s00405-020-05965-1","ISSN":"14344726","abstract":"Objective: To investigate the occurrence of olfactory and gustatory dysfunctions in patients with laboratory-confirmed COVID-19 infection. Methods: Patients with laboratory-confirmed COVID-19 infection were recruited from 12 European hospitals. The following epidemiological and clinical outcomes have been studied: age, sex, ethnicity, comorbidities, and general and otolaryngological symptoms. Patients completed olfactory and gustatory questionnaires based on the smell and taste component of the National Health and Nutrition Examination Survey, and the short version of the Questionnaire of Olfactory Disorders-Negative Statements (sQOD-NS). Results: A total of 417 mild-to-moderate COVID-19 patients completed the study (263 females). The most prevalent general symptoms consisted of cough, myalgia, and loss of appetite. Face pain and nasal obstruction were the most disease-related otolaryngological symptoms. 85.6% and 88.0% of patients reported olfactory and gustatory dysfunctions, respectively. There was a significant association between both disorders (p &lt; 0.001). Olfactory dysfunction (OD) appeared before the other symptoms in 11.8% of cases. The sQO-NS scores were significantly lower in patients with anosmia compared with normosmic or hyposmic individuals (p = 0.001). Among the 18.2% of patients without nasal obstruction or rhinorrhea, 79.7% were hyposmic or anosmic. The early olfactory recovery rate was 44.0%. Females were significantly more affected by olfactory and gustatory dysfunctions than males (p = 0.001). Conclusion: Olfactory and gustatory disorders are prevalent symptoms in European COVID-19 patients, who may not have nasal symptoms. The sudden anosmia or ageusia need to be recognized by the international scientific community as important symptoms of the COVID-19 infection.","author":[{"dropping-particle":"","family":"Lechien","given":"Jerome R.","non-dropping-particle":"","parse-names":false,"suffix":""},{"dropping-particle":"","family":"Chiesa-Estomba","given":"Carlos M.","non-dropping-particle":"","parse-names":false,"suffix":""},{"dropping-particle":"","family":"Siati","given":"Daniele R.","non-dropping-particle":"De","parse-names":false,"suffix":""},{"dropping-particle":"","family":"Horoi","given":"Mihaela","non-dropping-particle":"","parse-names":false,"suffix":""},{"dropping-particle":"","family":"Bon","given":"Serge D.","non-dropping-particle":"Le","parse-names":false,"suffix":""},{"dropping-particle":"","family":"Rodriguez","given":"Alexandra","non-dropping-particle":"","parse-names":false,"suffix":""},{"dropping-particle":"","family":"Dequanter","given":"Didier","non-dropping-particle":"","parse-names":false,"suffix":""},{"dropping-particle":"","family":"Blecic","given":"Serge","non-dropping-particle":"","parse-names":false,"suffix":""},{"dropping-particle":"","family":"Afia","given":"Fahd","non-dropping-particle":"El","parse-names":false,"suffix":""},{"dropping-particle":"","family":"Distinguin","given":"Lea","non-dropping-particle":"","parse-names":false,"suffix":""},{"dropping-particle":"","family":"Chekkoury-Idrissi","given":"Younes","non-dropping-particle":"","parse-names":false,"suffix":""},{"dropping-particle":"","family":"Hans","given":"Stéphane","non-dropping-particle":"","parse-names":false,"suffix":""},{"dropping-particle":"","family":"Delgado","given":"Irene Lopez","non-dropping-particle":"","parse-names":false,"suffix":""},{"dropping-particle":"","family":"Calvo-Henriquez","given":"Christian","non-dropping-particle":"","parse-names":false,"suffix":""},{"dropping-particle":"","family":"Lavigne","given":"Philippe","non-dropping-particle":"","parse-names":false,"suffix":""},{"dropping-particle":"","family":"Falanga","given":"Chiara","non-dropping-particle":"","parse-names":false,"suffix":""},{"dropping-particle":"","family":"Barillari","given":"Maria Rosaria","non-dropping-particle":"","parse-names":false,"suffix":""},{"dropping-particle":"","family":"Cammaroto","given":"Giovanni","non-dropping-particle":"","parse-names":false,"suffix":""},{"dropping-particle":"","family":"Khalife","given":"Mohamad","non-dropping-particle":"","parse-names":false,"suffix":""},{"dropping-particle":"","family":"Leich","given":"Pierre","non-dropping-particle":"","parse-names":false,"suffix":""},{"dropping-particle":"","family":"Souchay","given":"Christel","non-dropping-particle":"","parse-names":false,"suffix":""},{"dropping-particle":"","family":"Rossi","given":"Camelia","non-dropping-particle":"","parse-names":false,"suffix":""},{"dropping-particle":"","family":"Journe","given":"Fabrice","non-dropping-particle":"","parse-names":false,"suffix":""},{"dropping-particle":"","family":"Hsieh","given":"Julien","non-dropping-particle":"","parse-names":false,"suffix":""},{"dropping-particle":"","family":"Edjlali","given":"Myriam","non-dropping-particle":"","parse-names":false,"suffix":""},{"dropping-particle":"","family":"Carlier","given":"Robert","non-dropping-particle":"","parse-names":false,"suffix":""},{"dropping-particle":"","family":"Ris","given":"Laurence","non-dropping-particle":"","parse-names":false,"suffix":""},{"dropping-particle":"","family":"Lovato","given":"Andrea","non-dropping-particle":"","parse-names":false,"suffix":""},{"dropping-particle":"","family":"Filippis","given":"Cosimo","non-dropping-particle":"De","parse-names":false,"suffix":""},{"dropping-particle":"","family":"Coppee","given":"Frederique","non-dropping-particle":"","parse-names":false,"suffix":""},{"dropping-particle":"","family":"Fakhry","given":"Nicolas","non-dropping-particle":"","parse-names":false,"suffix":""},{"dropping-particle":"","family":"Ayad","given":"Tareck","non-dropping-particle":"","parse-names":false,"suffix":""},{"dropping-particle":"","family":"Saussez","given":"Sven","non-dropping-particle":"","parse-names":false,"suffix":""}],"container-title":"European Archives of Oto-Rhino-Laryngology","id":"ITEM-1","issue":"8","issued":{"date-parts":[["2020"]]},"title":"Olfactory and gustatory dysfunctions as a clinical presentation of mild-to-moderate forms of the coronavirus disease (COVID-19): a multicenter European study","type":"article-journal","volume":"277"},"uris":["http://www.mendeley.com/documents/?uuid=c01b2c90-d804-30af-bcb1-09d0cf974424"]}],"mendeley":{"formattedCitation":"(Lechien et al., 2020)","plainTextFormattedCitation":"(Lechien et al., 2020)","previouslyFormattedCitation":"(Lechien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(Lechien et al.,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5BECD575"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27C5DAA6"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6C61E76C"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noProof/>
          <w:sz w:val="24"/>
          <w:szCs w:val="24"/>
        </w:rPr>
        <w:drawing>
          <wp:anchor distT="0" distB="0" distL="114300" distR="114300" simplePos="0" relativeHeight="251697152" behindDoc="0" locked="0" layoutInCell="1" allowOverlap="1" wp14:anchorId="76803699" wp14:editId="2FBB7C20">
            <wp:simplePos x="0" y="0"/>
            <wp:positionH relativeFrom="margin">
              <wp:align>left</wp:align>
            </wp:positionH>
            <wp:positionV relativeFrom="paragraph">
              <wp:posOffset>360680</wp:posOffset>
            </wp:positionV>
            <wp:extent cx="5974080" cy="4526280"/>
            <wp:effectExtent l="0" t="0" r="7620" b="7620"/>
            <wp:wrapSquare wrapText="bothSides"/>
            <wp:docPr id="36" name="Chart 36">
              <a:extLst xmlns:a="http://schemas.openxmlformats.org/drawingml/2006/main">
                <a:ext uri="{FF2B5EF4-FFF2-40B4-BE49-F238E27FC236}">
                  <a16:creationId xmlns:a16="http://schemas.microsoft.com/office/drawing/2014/main" id="{894B1578-FC80-4BAE-9E6E-ECAEB5D71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2F80144"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br w:type="textWrapping" w:clear="all"/>
      </w:r>
      <w:r w:rsidRPr="00703566">
        <w:rPr>
          <w:rFonts w:ascii="Times New Roman" w:eastAsia="Calibri" w:hAnsi="Times New Roman" w:cs="Times New Roman"/>
          <w:b/>
          <w:bCs/>
          <w:sz w:val="24"/>
          <w:szCs w:val="24"/>
        </w:rPr>
        <w:t>Figure 9</w:t>
      </w:r>
    </w:p>
    <w:p w14:paraId="7F5537E2"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4.4.2 Post Covid Health Issues Among Samples</w:t>
      </w:r>
    </w:p>
    <w:p w14:paraId="034DE36D"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lastRenderedPageBreak/>
        <w:t xml:space="preserve">Figure </w:t>
      </w:r>
      <w:bookmarkStart w:id="10" w:name="_Hlk68527561"/>
      <w:r w:rsidRPr="00703566">
        <w:rPr>
          <w:rFonts w:ascii="Times New Roman" w:eastAsia="Calibri" w:hAnsi="Times New Roman" w:cs="Times New Roman"/>
          <w:b/>
          <w:bCs/>
          <w:sz w:val="24"/>
          <w:szCs w:val="24"/>
        </w:rPr>
        <w:t>6</w:t>
      </w:r>
      <w:r w:rsidRPr="00703566">
        <w:rPr>
          <w:rFonts w:ascii="Times New Roman" w:eastAsia="Calibri" w:hAnsi="Times New Roman" w:cs="Times New Roman"/>
          <w:sz w:val="24"/>
          <w:szCs w:val="24"/>
        </w:rPr>
        <w:t xml:space="preserve"> picturised the health issues after covid 19 among target group in which 35 females and 16 males had palpitation,28 females and 16 male had fatigue, 19 females and 13 males have pain in joints. Shortness of breath, loss of taste or smell, memory loss </w:t>
      </w:r>
      <w:proofErr w:type="gramStart"/>
      <w:r w:rsidRPr="00703566">
        <w:rPr>
          <w:rFonts w:ascii="Times New Roman" w:eastAsia="Calibri" w:hAnsi="Times New Roman" w:cs="Times New Roman"/>
          <w:sz w:val="24"/>
          <w:szCs w:val="24"/>
        </w:rPr>
        <w:t>were</w:t>
      </w:r>
      <w:proofErr w:type="gramEnd"/>
      <w:r w:rsidRPr="00703566">
        <w:rPr>
          <w:rFonts w:ascii="Times New Roman" w:eastAsia="Calibri" w:hAnsi="Times New Roman" w:cs="Times New Roman"/>
          <w:sz w:val="24"/>
          <w:szCs w:val="24"/>
        </w:rPr>
        <w:t xml:space="preserve"> effected by numerous people.</w:t>
      </w:r>
      <w:bookmarkEnd w:id="10"/>
      <w:r w:rsidRPr="00703566">
        <w:rPr>
          <w:rFonts w:ascii="Times New Roman" w:eastAsia="Calibri" w:hAnsi="Times New Roman" w:cs="Times New Roman"/>
          <w:sz w:val="24"/>
          <w:szCs w:val="24"/>
        </w:rPr>
        <w:t xml:space="preserve"> When compared to males, females had more health issues than men. In this target group 4 men had no difficulties after COVID 19 infection. Majority of the target group confirmed that, work efficiency was reduced after covid 19 infection, because of the emerging heath issues after covid 19. </w:t>
      </w:r>
    </w:p>
    <w:p w14:paraId="5E1A7CA0"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 Recent reports shows that COVID-19 has the potential to damage the heart in a number of ways, causing symptoms such as chest pain, arrhythmias, palpitation (irregular pulse rhythms), or complications such as heart failure and cardiogenic shock in people of all ages and backgrounds. The most common cardiovascular impact of COVID-19 found in both symptomatic and asymptomatic patients is an exaggerated inflammatory response triggered by the virus, known as myocarditis. In one study, approximately 80% of COVID-19 survivors were found to have heart defects, most of which were inflammatory in nature and also found that post pandemic stress on geriatric people that mistaken as a </w:t>
      </w:r>
      <w:proofErr w:type="gramStart"/>
      <w:r w:rsidRPr="00703566">
        <w:rPr>
          <w:rFonts w:ascii="Times New Roman" w:eastAsia="Calibri" w:hAnsi="Times New Roman" w:cs="Times New Roman"/>
          <w:sz w:val="24"/>
          <w:szCs w:val="24"/>
        </w:rPr>
        <w:t>cardiac symptoms</w:t>
      </w:r>
      <w:proofErr w:type="gramEnd"/>
      <w:r w:rsidRPr="00703566">
        <w:rPr>
          <w:rFonts w:ascii="Times New Roman" w:eastAsia="Calibri" w:hAnsi="Times New Roman" w:cs="Times New Roman"/>
          <w:sz w:val="24"/>
          <w:szCs w:val="24"/>
        </w:rPr>
        <w:t xml:space="preserve"> </w:t>
      </w:r>
      <w:r w:rsidRPr="00703566">
        <w:rPr>
          <w:rFonts w:ascii="Times New Roman" w:eastAsia="Calibri" w:hAnsi="Times New Roman" w:cs="Times New Roman"/>
          <w:noProof/>
          <w:sz w:val="24"/>
          <w:szCs w:val="24"/>
        </w:rPr>
        <w:t>(Huang et al., 2021)</w:t>
      </w:r>
      <w:r w:rsidRPr="00703566">
        <w:rPr>
          <w:rFonts w:ascii="Times New Roman" w:eastAsia="Calibri" w:hAnsi="Times New Roman" w:cs="Times New Roman"/>
          <w:sz w:val="24"/>
          <w:szCs w:val="24"/>
        </w:rPr>
        <w:t>.</w:t>
      </w:r>
    </w:p>
    <w:p w14:paraId="392BF087"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Pandemic situation added stress to the older adult, that leads to physical and psychological distress.  Many COVID-19 patients experience neurological symptoms such as loss of smell, delirium, and a higher risk of stroke. Myologic encephalomyelitis/chronic fatigue syndrome and Guillain-Barre syndrome are two brain conditions with long-term effects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{"citationItems":[{"id":"ITEM-1","itemData":{"DOI":"10.1093/geront/gnaa201","abstract":"Background and Objectives: Even before the COVID-19 pandemic, older adults with cognitive impairment living alone (an estimated 4.3 million individuals in the United States) were at high risk for negative health outcomes. There is an urgent need to learn how this population is managing during the pandemic. Research Design and Methods: This is a qualitative study of 24 adults aged 55 and older living alone with cognitive impairment from diverse racial/ethnic backgrounds. Participants' lived experiences during the pandemic were elicited via 59 ethnographic interviews conducted over the phone either in English, Spanish, or Cantonese. Using a qualitative content analysis approach, interview transcripts were analyzed to identify codes and themes. Results: Qualitative analysis of transcripts revealed 5 themes: (a) fear generated by the pandemic, (b) distress stemming from feeling extremely isolated, (c) belief in misinformation, (d) strategies for coping during the pandemic, and (e) the importance of access to essential services. Discussion and Implications: This pandemic put a spotlight on the precarity and unmet needs of older adults living alone with cognitive impairment. Findings underscore the need to expand access to home care aides and mental health services for this population.","author":[{"dropping-particle":"","family":"Portacolone","given":"Elena","non-dropping-particle":"","parse-names":false,"suffix":""},{"dropping-particle":"","family":"Chodos","given":"Anna","non-dropping-particle":"","parse-names":false,"suffix":""},{"dropping-particle":"","family":"Halpern","given":"Jodi","non-dropping-particle":"","parse-names":false,"suffix":""},{"dropping-particle":"","family":"Covinsky","given":"Kenneth E","non-dropping-particle":"","parse-names":false,"suffix":""},{"dropping-particle":"","family":"Keiser","given":"Sahru","non-dropping-particle":"","parse-names":false,"suffix":""},{"dropping-particle":"","family":"Fung","given":"Jennifer","non-dropping-particle":"","parse-names":false,"suffix":""},{"dropping-particle":"","family":"Rivera","given":"Elizabeth","non-dropping-particle":"","parse-names":false,"suffix":""},{"dropping-particle":"","family":"Tran","given":"Thi","non-dropping-particle":"","parse-names":false,"suffix":""},{"dropping-particle":"","family":"Bykhovsky","given":"Camilla","non-dropping-particle":"","parse-names":false,"suffix":""},{"dropping-particle":"","family":"Johnson","given":"Julene K","non-dropping-particle":"","parse-names":false,"suffix":""},{"dropping-particle":"","family":"Bowers","given":"Barbara J","non-dropping-particle":"","parse-names":false,"suffix":""}],"container-title":"The Gerontologist cite as: Gerontologist","id":"ITEM-1","issue":"2","issued":{"date-parts":[["2021"]]},"page":"251-261","title":"The Effects of the COVID-19 Pandemic on the Lived Experience of Diverse Older Adults Living Alone With Cognitive Impairment","type":"article-journal","volume":"61"},"uris":["http://www.mendeley.com/documents/?uuid=7e23430c-0f4c-3e2a-becf-a3302a6b31b2"]}],"mendeley":{"formattedCitation":"(Portacolone et al., 2021)","plainTextFormattedCitation":"(Portacolone et al., 2021)","previouslyFormattedCitation":"(Portacolone et al., 2021)"},"properties":{"noteIndex":0},"schema":"https://github.com/citation-style-language/schema/raw/master/csl-citation.json"}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(Portacolone et al., 2021)</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65B732D3"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   </w:t>
      </w:r>
    </w:p>
    <w:p w14:paraId="4025A2F1"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
    <w:p w14:paraId="7EE8CCAA"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
    <w:p w14:paraId="4400A326" w14:textId="77777777" w:rsidR="00703566" w:rsidRPr="00703566" w:rsidRDefault="00703566" w:rsidP="00703566">
      <w:pPr>
        <w:spacing w:line="480" w:lineRule="auto"/>
        <w:rPr>
          <w:rFonts w:ascii="Times New Roman" w:eastAsia="Calibri" w:hAnsi="Times New Roman" w:cs="Times New Roman"/>
          <w:sz w:val="24"/>
          <w:szCs w:val="24"/>
        </w:rPr>
      </w:pPr>
      <w:r w:rsidRPr="00703566">
        <w:rPr>
          <w:rFonts w:ascii="Times New Roman" w:eastAsia="Calibri" w:hAnsi="Times New Roman" w:cs="Times New Roman"/>
          <w:b/>
          <w:bCs/>
          <w:sz w:val="24"/>
          <w:szCs w:val="24"/>
          <w:lang w:val="en-US"/>
        </w:rPr>
        <w:lastRenderedPageBreak/>
        <w:t xml:space="preserve">                                                       Table 6</w:t>
      </w:r>
    </w:p>
    <w:p w14:paraId="677FB95A"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4.4.3 Duration of Hospital Stay of Target Group</w:t>
      </w:r>
    </w:p>
    <w:tbl>
      <w:tblPr>
        <w:tblStyle w:val="TableGrid2"/>
        <w:tblpPr w:leftFromText="180" w:rightFromText="180" w:vertAnchor="text" w:horzAnchor="margin" w:tblpXSpec="center" w:tblpY="150"/>
        <w:tblW w:w="0" w:type="auto"/>
        <w:tblLook w:val="04A0" w:firstRow="1" w:lastRow="0" w:firstColumn="1" w:lastColumn="0" w:noHBand="0" w:noVBand="1"/>
      </w:tblPr>
      <w:tblGrid>
        <w:gridCol w:w="3648"/>
        <w:gridCol w:w="2588"/>
        <w:gridCol w:w="1827"/>
      </w:tblGrid>
      <w:tr w:rsidR="00703566" w:rsidRPr="00703566" w14:paraId="702A48A6" w14:textId="77777777" w:rsidTr="008A6F48">
        <w:trPr>
          <w:trHeight w:val="303"/>
        </w:trPr>
        <w:tc>
          <w:tcPr>
            <w:tcW w:w="3648" w:type="dxa"/>
            <w:noWrap/>
            <w:hideMark/>
          </w:tcPr>
          <w:p w14:paraId="29F695A7"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Hospital Stay</w:t>
            </w:r>
          </w:p>
        </w:tc>
        <w:tc>
          <w:tcPr>
            <w:tcW w:w="2588" w:type="dxa"/>
            <w:noWrap/>
            <w:hideMark/>
          </w:tcPr>
          <w:p w14:paraId="73D7E6FB"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Female</w:t>
            </w:r>
          </w:p>
        </w:tc>
        <w:tc>
          <w:tcPr>
            <w:tcW w:w="1827" w:type="dxa"/>
            <w:noWrap/>
            <w:hideMark/>
          </w:tcPr>
          <w:p w14:paraId="3CC517AE"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Male </w:t>
            </w:r>
          </w:p>
        </w:tc>
      </w:tr>
      <w:tr w:rsidR="00703566" w:rsidRPr="00703566" w14:paraId="0789EB0C" w14:textId="77777777" w:rsidTr="008A6F48">
        <w:trPr>
          <w:trHeight w:val="303"/>
        </w:trPr>
        <w:tc>
          <w:tcPr>
            <w:tcW w:w="3648" w:type="dxa"/>
            <w:noWrap/>
            <w:hideMark/>
          </w:tcPr>
          <w:p w14:paraId="2131EB5D"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less than 5days</w:t>
            </w:r>
          </w:p>
        </w:tc>
        <w:tc>
          <w:tcPr>
            <w:tcW w:w="2588" w:type="dxa"/>
            <w:noWrap/>
            <w:hideMark/>
          </w:tcPr>
          <w:p w14:paraId="131F075C"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0</w:t>
            </w:r>
          </w:p>
        </w:tc>
        <w:tc>
          <w:tcPr>
            <w:tcW w:w="1827" w:type="dxa"/>
            <w:noWrap/>
            <w:hideMark/>
          </w:tcPr>
          <w:p w14:paraId="286A0D38"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3</w:t>
            </w:r>
          </w:p>
        </w:tc>
      </w:tr>
      <w:tr w:rsidR="00703566" w:rsidRPr="00703566" w14:paraId="7E02BB4A" w14:textId="77777777" w:rsidTr="008A6F48">
        <w:trPr>
          <w:trHeight w:val="303"/>
        </w:trPr>
        <w:tc>
          <w:tcPr>
            <w:tcW w:w="3648" w:type="dxa"/>
            <w:noWrap/>
            <w:hideMark/>
          </w:tcPr>
          <w:p w14:paraId="510AECB2"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5 to 10 days</w:t>
            </w:r>
          </w:p>
        </w:tc>
        <w:tc>
          <w:tcPr>
            <w:tcW w:w="2588" w:type="dxa"/>
            <w:noWrap/>
            <w:hideMark/>
          </w:tcPr>
          <w:p w14:paraId="2B27517E"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14</w:t>
            </w:r>
          </w:p>
        </w:tc>
        <w:tc>
          <w:tcPr>
            <w:tcW w:w="1827" w:type="dxa"/>
            <w:noWrap/>
            <w:hideMark/>
          </w:tcPr>
          <w:p w14:paraId="1E6E06AC"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16</w:t>
            </w:r>
          </w:p>
        </w:tc>
      </w:tr>
      <w:tr w:rsidR="00703566" w:rsidRPr="00703566" w14:paraId="49EC75E2" w14:textId="77777777" w:rsidTr="008A6F48">
        <w:trPr>
          <w:trHeight w:val="303"/>
        </w:trPr>
        <w:tc>
          <w:tcPr>
            <w:tcW w:w="3648" w:type="dxa"/>
            <w:noWrap/>
            <w:hideMark/>
          </w:tcPr>
          <w:p w14:paraId="49D7F8AC"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11 to 15 days</w:t>
            </w:r>
          </w:p>
        </w:tc>
        <w:tc>
          <w:tcPr>
            <w:tcW w:w="2588" w:type="dxa"/>
            <w:noWrap/>
            <w:hideMark/>
          </w:tcPr>
          <w:p w14:paraId="7D6BC2CF"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23</w:t>
            </w:r>
          </w:p>
        </w:tc>
        <w:tc>
          <w:tcPr>
            <w:tcW w:w="1827" w:type="dxa"/>
            <w:noWrap/>
            <w:hideMark/>
          </w:tcPr>
          <w:p w14:paraId="2A1D87B8"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21</w:t>
            </w:r>
          </w:p>
        </w:tc>
      </w:tr>
      <w:tr w:rsidR="00703566" w:rsidRPr="00703566" w14:paraId="34D53CB7" w14:textId="77777777" w:rsidTr="008A6F48">
        <w:trPr>
          <w:trHeight w:val="303"/>
        </w:trPr>
        <w:tc>
          <w:tcPr>
            <w:tcW w:w="3648" w:type="dxa"/>
            <w:noWrap/>
            <w:hideMark/>
          </w:tcPr>
          <w:p w14:paraId="0F73495A"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16 to 20 days</w:t>
            </w:r>
          </w:p>
        </w:tc>
        <w:tc>
          <w:tcPr>
            <w:tcW w:w="2588" w:type="dxa"/>
            <w:noWrap/>
            <w:hideMark/>
          </w:tcPr>
          <w:p w14:paraId="54D1CAE6"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12</w:t>
            </w:r>
          </w:p>
        </w:tc>
        <w:tc>
          <w:tcPr>
            <w:tcW w:w="1827" w:type="dxa"/>
            <w:noWrap/>
            <w:hideMark/>
          </w:tcPr>
          <w:p w14:paraId="0F61C528"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10</w:t>
            </w:r>
          </w:p>
        </w:tc>
      </w:tr>
      <w:tr w:rsidR="00703566" w:rsidRPr="00703566" w14:paraId="74E20634" w14:textId="77777777" w:rsidTr="008A6F48">
        <w:trPr>
          <w:trHeight w:val="303"/>
        </w:trPr>
        <w:tc>
          <w:tcPr>
            <w:tcW w:w="3648" w:type="dxa"/>
            <w:noWrap/>
            <w:hideMark/>
          </w:tcPr>
          <w:p w14:paraId="73870042"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more than 20 days</w:t>
            </w:r>
          </w:p>
        </w:tc>
        <w:tc>
          <w:tcPr>
            <w:tcW w:w="2588" w:type="dxa"/>
            <w:noWrap/>
            <w:hideMark/>
          </w:tcPr>
          <w:p w14:paraId="1D21E4A2"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w:t>
            </w:r>
          </w:p>
        </w:tc>
        <w:tc>
          <w:tcPr>
            <w:tcW w:w="1827" w:type="dxa"/>
            <w:noWrap/>
            <w:hideMark/>
          </w:tcPr>
          <w:p w14:paraId="384CC9AF"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0</w:t>
            </w:r>
          </w:p>
        </w:tc>
      </w:tr>
      <w:tr w:rsidR="00703566" w:rsidRPr="00703566" w14:paraId="5A96DE76" w14:textId="77777777" w:rsidTr="008A6F48">
        <w:trPr>
          <w:trHeight w:val="303"/>
        </w:trPr>
        <w:tc>
          <w:tcPr>
            <w:tcW w:w="3648" w:type="dxa"/>
            <w:noWrap/>
          </w:tcPr>
          <w:p w14:paraId="1E14EB9C"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Total </w:t>
            </w:r>
          </w:p>
        </w:tc>
        <w:tc>
          <w:tcPr>
            <w:tcW w:w="2588" w:type="dxa"/>
            <w:noWrap/>
          </w:tcPr>
          <w:p w14:paraId="239F76BF"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50</w:t>
            </w:r>
          </w:p>
        </w:tc>
        <w:tc>
          <w:tcPr>
            <w:tcW w:w="1827" w:type="dxa"/>
            <w:noWrap/>
          </w:tcPr>
          <w:p w14:paraId="379B4445" w14:textId="77777777" w:rsidR="00703566" w:rsidRPr="00703566" w:rsidRDefault="00703566" w:rsidP="00703566">
            <w:pPr>
              <w:spacing w:line="36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50</w:t>
            </w:r>
          </w:p>
        </w:tc>
      </w:tr>
    </w:tbl>
    <w:p w14:paraId="68E13513"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22BDFC6F" w14:textId="77777777" w:rsidR="00703566" w:rsidRPr="00703566" w:rsidRDefault="00703566" w:rsidP="00703566">
      <w:pPr>
        <w:spacing w:line="480" w:lineRule="auto"/>
        <w:jc w:val="both"/>
        <w:rPr>
          <w:rFonts w:ascii="Times New Roman" w:eastAsia="Calibri" w:hAnsi="Times New Roman" w:cs="Times New Roman"/>
          <w:sz w:val="24"/>
          <w:szCs w:val="24"/>
        </w:rPr>
      </w:pPr>
      <w:bookmarkStart w:id="11" w:name="_Hlk68527882"/>
      <w:r w:rsidRPr="00703566">
        <w:rPr>
          <w:rFonts w:ascii="Times New Roman" w:eastAsia="Calibri" w:hAnsi="Times New Roman" w:cs="Times New Roman"/>
          <w:sz w:val="24"/>
          <w:szCs w:val="24"/>
        </w:rPr>
        <w:t>Duration of Hospital days of COVID 19 geriatric patients depends up on age, physical and psychological status of the patients</w:t>
      </w:r>
      <w:bookmarkEnd w:id="11"/>
      <w:r w:rsidRPr="00703566">
        <w:rPr>
          <w:rFonts w:ascii="Times New Roman" w:eastAsia="Calibri" w:hAnsi="Times New Roman" w:cs="Times New Roman"/>
          <w:sz w:val="24"/>
          <w:szCs w:val="24"/>
        </w:rPr>
        <w:t xml:space="preserve">. The information given by the respondents, says that after 5 days of detection of corona virus infection, the antigen test will be done and those who were positive would be stayed at hospital for further treatment and other will sent to home. During pandemic period, the COVID 19 rehabilitation centres were limited with accommodation of the patients, thereby health authorities tried to minimise the duration of hospital days of the patients. </w:t>
      </w:r>
    </w:p>
    <w:p w14:paraId="6D8A02B1"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Table 6 </w:t>
      </w:r>
      <w:r w:rsidRPr="00703566">
        <w:rPr>
          <w:rFonts w:ascii="Times New Roman" w:eastAsia="Calibri" w:hAnsi="Times New Roman" w:cs="Times New Roman"/>
          <w:sz w:val="24"/>
          <w:szCs w:val="24"/>
        </w:rPr>
        <w:t xml:space="preserve">demonstrate duration of hospital days of selected samples, in which </w:t>
      </w:r>
      <w:bookmarkStart w:id="12" w:name="_Hlk68527998"/>
      <w:r w:rsidRPr="00703566">
        <w:rPr>
          <w:rFonts w:ascii="Times New Roman" w:eastAsia="Calibri" w:hAnsi="Times New Roman" w:cs="Times New Roman"/>
          <w:sz w:val="24"/>
          <w:szCs w:val="24"/>
        </w:rPr>
        <w:t xml:space="preserve">very small number of people about 3 had less than 5 days of hospital stay,14 females and 16 male had 5 to 10 days of hospital stay, 23 females and 21 males had 11 to 15 days, 12 females and 10 males had 16 to 20 days of hospital days and one female had more than 20 days of hospital stay. In females compared to males, the hospital days are more. </w:t>
      </w:r>
      <w:bookmarkEnd w:id="12"/>
    </w:p>
    <w:p w14:paraId="62962E5E"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rPr>
      </w:pPr>
    </w:p>
    <w:p w14:paraId="367DC5E8"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noProof/>
          <w:sz w:val="24"/>
          <w:szCs w:val="24"/>
        </w:rPr>
        <w:lastRenderedPageBreak/>
        <w:drawing>
          <wp:inline distT="0" distB="0" distL="0" distR="0" wp14:anchorId="4695AADF" wp14:editId="76C8FF48">
            <wp:extent cx="5257800" cy="4358640"/>
            <wp:effectExtent l="0" t="0" r="0" b="3810"/>
            <wp:docPr id="9" name="Chart 9">
              <a:extLst xmlns:a="http://schemas.openxmlformats.org/drawingml/2006/main">
                <a:ext uri="{FF2B5EF4-FFF2-40B4-BE49-F238E27FC236}">
                  <a16:creationId xmlns:a16="http://schemas.microsoft.com/office/drawing/2014/main" id="{9CAA513B-44F4-417B-9933-C56AC8CA9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1E357E"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2BF6DEF1"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Figure 10</w:t>
      </w:r>
    </w:p>
    <w:p w14:paraId="38D397EC"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4.4.4 Recovery Period of Target Group </w:t>
      </w:r>
    </w:p>
    <w:p w14:paraId="28780071"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Figure </w:t>
      </w:r>
      <w:bookmarkStart w:id="13" w:name="_Hlk68528066"/>
      <w:r w:rsidRPr="00703566">
        <w:rPr>
          <w:rFonts w:ascii="Times New Roman" w:eastAsia="Calibri" w:hAnsi="Times New Roman" w:cs="Times New Roman"/>
          <w:b/>
          <w:bCs/>
          <w:sz w:val="24"/>
          <w:szCs w:val="24"/>
        </w:rPr>
        <w:t>10</w:t>
      </w:r>
      <w:r w:rsidRPr="00703566">
        <w:rPr>
          <w:rFonts w:ascii="Times New Roman" w:eastAsia="Calibri" w:hAnsi="Times New Roman" w:cs="Times New Roman"/>
          <w:sz w:val="24"/>
          <w:szCs w:val="24"/>
        </w:rPr>
        <w:t xml:space="preserve"> reveals recovery period of COVID 19 among target group. Compared to males, females required more days to recover from corona virus infection. Up to one month was the recovery period of majority of the target group</w:t>
      </w:r>
      <w:bookmarkEnd w:id="13"/>
      <w:r w:rsidRPr="00703566">
        <w:rPr>
          <w:rFonts w:ascii="Times New Roman" w:eastAsia="Calibri" w:hAnsi="Times New Roman" w:cs="Times New Roman"/>
          <w:sz w:val="24"/>
          <w:szCs w:val="24"/>
        </w:rPr>
        <w:t xml:space="preserve">. According to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10.1016/j.jinf.2020.05.026","ISSN":"15322742","PMID":"32425274","author":[{"dropping-particle":"","family":"Voinsky","given":"Irena","non-dropping-particle":"","parse-names":false,"suffix":""},{"dropping-particle":"","family":"Baristaite","given":"Gabriele","non-dropping-particle":"","parse-names":false,"suffix":""},{"dropping-particle":"","family":"Gurwitz","given":"David","non-dropping-particle":"","parse-names":false,"suffix":""}],"container-title":"Journal of Infection","id":"ITEM-1","issue":"2","issued":{"date-parts":[["2020","8","1"]]},"page":"e102-e103","publisher":"W.B. Saunders Ltd","title":"Effects of age and sex on recovery from COVID-19: Analysis of 5769 Israeli patients","type":"article","volume":"81"},"uris":["http://www.mendeley.com/documents/?uuid=f0531a1b-2b83-3ea2-8b0c-5e3a395c3ddf"]}],"mendeley":{"formattedCitation":"(Voinsky et al., 2020)","plainTextFormattedCitation":"(Voinsky et al., 2020)","previouslyFormattedCitation":"(Voinsky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(Voinsky et al.,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the recovery period of women compared to males are longer, because of their physical and psychological state. </w:t>
      </w:r>
    </w:p>
    <w:p w14:paraId="1EB5C260"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3DEE8FC0"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040D9F68" w14:textId="77777777" w:rsidR="00703566" w:rsidRPr="00703566" w:rsidRDefault="00703566" w:rsidP="00703566">
      <w:pPr>
        <w:numPr>
          <w:ilvl w:val="1"/>
          <w:numId w:val="4"/>
        </w:num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lastRenderedPageBreak/>
        <w:t>Health Profile of the samples</w:t>
      </w:r>
    </w:p>
    <w:p w14:paraId="19A9066A"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 xml:space="preserve">Health profile of an individual is a qualitative and quantitative tool for assessing comprehensive health of individuals. It covers all the major information on disease morbidity and mortality. Health profile of an individual determine health risk factors such as morbidities, symptoms associated with corona virus infection </w:t>
      </w:r>
      <w:r w:rsidRPr="00703566">
        <w:rPr>
          <w:rFonts w:ascii="Times New Roman" w:hAnsi="Times New Roman" w:cs="Times New Roman"/>
          <w:sz w:val="24"/>
          <w:szCs w:val="24"/>
          <w:lang w:val="en-US"/>
        </w:rPr>
        <w:fldChar w:fldCharType="begin" w:fldLock="1"/>
      </w:r>
      <w:r w:rsidRPr="00703566">
        <w:rPr>
          <w:rFonts w:ascii="Times New Roman" w:hAnsi="Times New Roman" w:cs="Times New Roman"/>
          <w:sz w:val="24"/>
          <w:szCs w:val="24"/>
          <w:lang w:val="en-US"/>
        </w:rPr>
        <w:instrText>ADDIN CSL_CITATION {"citationItems":[{"id":"ITEM-1","itemData":{"DOI":"10.4103/0970-0218.43225","ISSN":"0970-0218","abstract":"India is in a phase of demographic transition. As per the 1991 census, the population of the elderly in India was 57 million as compared with 20 million in 1951. There has been a sharp increase in the number of elderly persons between 1991 and 2001 and it has been projected that by the year 2050, the number of elderly people would rise to about 324 million. 1 India has thus acquired the label of \"an ageing nation\" with 7.7% of its population being more than 60 years old. The demographic transition is attributed to the decreasing fertility and mortality rates due to the availability of better health care services. It has been observed that the reduction in mortality is higher as compared with fertility. There has been a sharp decline in the crude death rate from 28.5 during 1951-1961 to 8.4 in 1996; while the crude birth rate for the same time period fell from 47.3 to 22.8 in 1996. 2 Over the past decades, India's health program and policies have been focusing on issues like population stabilization, maternal and child health, and disease control. However, current statistics for the elderly in India gives a prelude to a new set of medical, social, and economic problems that could arise if a timely initiative in this direction is not taken by the program managers and policy makers. There is a need to highlight the medical and socio-economic problems that are being faced by the elderly people in India, and strategies for bringing about an improvement in their quality of life also need to be explored.","author":[{"dropping-particle":"","family":"Nath","given":"Anita","non-dropping-particle":"","parse-names":false,"suffix":""},{"dropping-particle":"","family":"Ingle","given":"GopalK","non-dropping-particle":"","parse-names":false,"suffix":""}],"container-title":"Indian Journal of Community Medicine","id":"ITEM-1","issue":"4","issued":{"date-parts":[["2008"]]},"page":"214","publisher":"Medknow","title":"Geriatric health in India: Concerns and solutions","type":"article-journal","volume":"33"},"uris":["http://www.mendeley.com/documents/?uuid=acc0da29-f8e1-3f09-8ff8-2a38dd005ced"]}],"mendeley":{"formattedCitation":"(Nath &amp; Ingle, 2008)","plainTextFormattedCitation":"(Nath &amp; Ingle, 2008)","previouslyFormattedCitation":"(Nath &amp; Ingle, 2008)"},"properties":{"noteIndex":0},"schema":"https://github.com/citation-style-language/schema/raw/master/csl-citation.json"}</w:instrText>
      </w:r>
      <w:r w:rsidRPr="00703566">
        <w:rPr>
          <w:rFonts w:ascii="Times New Roman" w:hAnsi="Times New Roman" w:cs="Times New Roman"/>
          <w:sz w:val="24"/>
          <w:szCs w:val="24"/>
          <w:lang w:val="en-US"/>
        </w:rPr>
        <w:fldChar w:fldCharType="separate"/>
      </w:r>
      <w:r w:rsidRPr="00703566">
        <w:rPr>
          <w:rFonts w:ascii="Times New Roman" w:hAnsi="Times New Roman" w:cs="Times New Roman"/>
          <w:noProof/>
          <w:sz w:val="24"/>
          <w:szCs w:val="24"/>
          <w:lang w:val="en-US"/>
        </w:rPr>
        <w:t>(Nath &amp; Ingle, 2008)</w:t>
      </w:r>
      <w:r w:rsidRPr="00703566">
        <w:rPr>
          <w:rFonts w:ascii="Times New Roman" w:hAnsi="Times New Roman" w:cs="Times New Roman"/>
          <w:sz w:val="24"/>
          <w:szCs w:val="24"/>
          <w:lang w:val="en-US"/>
        </w:rPr>
        <w:fldChar w:fldCharType="end"/>
      </w:r>
      <w:r w:rsidRPr="00703566">
        <w:rPr>
          <w:rFonts w:ascii="Times New Roman" w:hAnsi="Times New Roman" w:cs="Times New Roman"/>
          <w:sz w:val="24"/>
          <w:szCs w:val="24"/>
          <w:lang w:val="en-US"/>
        </w:rPr>
        <w:t>.</w:t>
      </w:r>
    </w:p>
    <w:p w14:paraId="0467DBBD" w14:textId="77777777" w:rsidR="00703566" w:rsidRPr="00703566" w:rsidRDefault="00703566" w:rsidP="00703566">
      <w:pPr>
        <w:tabs>
          <w:tab w:val="left" w:pos="6660"/>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ab/>
      </w:r>
    </w:p>
    <w:p w14:paraId="1F65A33A"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sz w:val="24"/>
          <w:szCs w:val="24"/>
          <w:lang w:val="en-US"/>
        </w:rPr>
        <w:tab/>
      </w:r>
      <w:r w:rsidRPr="00703566">
        <w:rPr>
          <w:rFonts w:ascii="Times New Roman" w:hAnsi="Times New Roman" w:cs="Times New Roman"/>
          <w:sz w:val="24"/>
          <w:szCs w:val="24"/>
          <w:lang w:val="en-US"/>
        </w:rPr>
        <w:tab/>
      </w:r>
      <w:r w:rsidRPr="00703566">
        <w:rPr>
          <w:rFonts w:ascii="Times New Roman" w:hAnsi="Times New Roman" w:cs="Times New Roman"/>
          <w:sz w:val="24"/>
          <w:szCs w:val="24"/>
          <w:lang w:val="en-US"/>
        </w:rPr>
        <w:tab/>
      </w:r>
      <w:r w:rsidRPr="00703566">
        <w:rPr>
          <w:rFonts w:ascii="Times New Roman" w:hAnsi="Times New Roman" w:cs="Times New Roman"/>
          <w:b/>
          <w:bCs/>
          <w:sz w:val="24"/>
          <w:szCs w:val="24"/>
          <w:lang w:val="en-US"/>
        </w:rPr>
        <w:t xml:space="preserve">Table 7  </w:t>
      </w:r>
    </w:p>
    <w:p w14:paraId="19339913"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4.5.1 Medical History of The Samples</w:t>
      </w:r>
    </w:p>
    <w:tbl>
      <w:tblPr>
        <w:tblStyle w:val="TableGrid2"/>
        <w:tblpPr w:leftFromText="180" w:rightFromText="180" w:vertAnchor="text" w:horzAnchor="margin" w:tblpXSpec="center" w:tblpY="434"/>
        <w:tblW w:w="8931" w:type="dxa"/>
        <w:tblLook w:val="04A0" w:firstRow="1" w:lastRow="0" w:firstColumn="1" w:lastColumn="0" w:noHBand="0" w:noVBand="1"/>
      </w:tblPr>
      <w:tblGrid>
        <w:gridCol w:w="4112"/>
        <w:gridCol w:w="2835"/>
        <w:gridCol w:w="1984"/>
      </w:tblGrid>
      <w:tr w:rsidR="00703566" w:rsidRPr="00703566" w14:paraId="73CFDCD1" w14:textId="77777777" w:rsidTr="008A6F48">
        <w:tc>
          <w:tcPr>
            <w:tcW w:w="4112" w:type="dxa"/>
          </w:tcPr>
          <w:p w14:paraId="6B843FCC"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Co - Morbidities </w:t>
            </w:r>
          </w:p>
        </w:tc>
        <w:tc>
          <w:tcPr>
            <w:tcW w:w="2835" w:type="dxa"/>
          </w:tcPr>
          <w:p w14:paraId="4B906367"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Number of samples </w:t>
            </w:r>
          </w:p>
        </w:tc>
        <w:tc>
          <w:tcPr>
            <w:tcW w:w="1984" w:type="dxa"/>
          </w:tcPr>
          <w:p w14:paraId="7D424EA4"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Percentage </w:t>
            </w:r>
          </w:p>
        </w:tc>
      </w:tr>
      <w:tr w:rsidR="00703566" w:rsidRPr="00703566" w14:paraId="2B4F2271" w14:textId="77777777" w:rsidTr="008A6F48">
        <w:tc>
          <w:tcPr>
            <w:tcW w:w="4112" w:type="dxa"/>
          </w:tcPr>
          <w:p w14:paraId="085725DB"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Diabetes Mellitus</w:t>
            </w:r>
          </w:p>
        </w:tc>
        <w:tc>
          <w:tcPr>
            <w:tcW w:w="2835" w:type="dxa"/>
          </w:tcPr>
          <w:p w14:paraId="1253F3A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20</w:t>
            </w:r>
          </w:p>
        </w:tc>
        <w:tc>
          <w:tcPr>
            <w:tcW w:w="1984" w:type="dxa"/>
          </w:tcPr>
          <w:p w14:paraId="39B68D15"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20</w:t>
            </w:r>
          </w:p>
        </w:tc>
      </w:tr>
      <w:tr w:rsidR="00703566" w:rsidRPr="00703566" w14:paraId="4A025A2E" w14:textId="77777777" w:rsidTr="008A6F48">
        <w:tc>
          <w:tcPr>
            <w:tcW w:w="4112" w:type="dxa"/>
          </w:tcPr>
          <w:p w14:paraId="15E90B4A"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Hypertension</w:t>
            </w:r>
          </w:p>
        </w:tc>
        <w:tc>
          <w:tcPr>
            <w:tcW w:w="2835" w:type="dxa"/>
          </w:tcPr>
          <w:p w14:paraId="2862DF3D"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56</w:t>
            </w:r>
          </w:p>
        </w:tc>
        <w:tc>
          <w:tcPr>
            <w:tcW w:w="1984" w:type="dxa"/>
          </w:tcPr>
          <w:p w14:paraId="741AFA5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56</w:t>
            </w:r>
          </w:p>
        </w:tc>
      </w:tr>
      <w:tr w:rsidR="00703566" w:rsidRPr="00703566" w14:paraId="34D6EF89" w14:textId="77777777" w:rsidTr="008A6F48">
        <w:tc>
          <w:tcPr>
            <w:tcW w:w="4112" w:type="dxa"/>
          </w:tcPr>
          <w:p w14:paraId="574A85A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COPD</w:t>
            </w:r>
          </w:p>
        </w:tc>
        <w:tc>
          <w:tcPr>
            <w:tcW w:w="2835" w:type="dxa"/>
          </w:tcPr>
          <w:p w14:paraId="60F73E6C"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984" w:type="dxa"/>
          </w:tcPr>
          <w:p w14:paraId="0822A9C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r>
      <w:tr w:rsidR="00703566" w:rsidRPr="00703566" w14:paraId="068B684B" w14:textId="77777777" w:rsidTr="008A6F48">
        <w:tc>
          <w:tcPr>
            <w:tcW w:w="4112" w:type="dxa"/>
          </w:tcPr>
          <w:p w14:paraId="34B02AD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Heart disease</w:t>
            </w:r>
          </w:p>
        </w:tc>
        <w:tc>
          <w:tcPr>
            <w:tcW w:w="2835" w:type="dxa"/>
          </w:tcPr>
          <w:p w14:paraId="6569672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w:t>
            </w:r>
          </w:p>
        </w:tc>
        <w:tc>
          <w:tcPr>
            <w:tcW w:w="1984" w:type="dxa"/>
          </w:tcPr>
          <w:p w14:paraId="17A74193"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w:t>
            </w:r>
          </w:p>
        </w:tc>
      </w:tr>
      <w:tr w:rsidR="00703566" w:rsidRPr="00703566" w14:paraId="38AAD233" w14:textId="77777777" w:rsidTr="008A6F48">
        <w:tc>
          <w:tcPr>
            <w:tcW w:w="4112" w:type="dxa"/>
          </w:tcPr>
          <w:p w14:paraId="2D2CA81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 xml:space="preserve">Cancer </w:t>
            </w:r>
          </w:p>
        </w:tc>
        <w:tc>
          <w:tcPr>
            <w:tcW w:w="2835" w:type="dxa"/>
          </w:tcPr>
          <w:p w14:paraId="25393F9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984" w:type="dxa"/>
          </w:tcPr>
          <w:p w14:paraId="2049576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1.4</w:t>
            </w:r>
          </w:p>
        </w:tc>
      </w:tr>
      <w:tr w:rsidR="00703566" w:rsidRPr="00703566" w14:paraId="418476A7" w14:textId="77777777" w:rsidTr="008A6F48">
        <w:tc>
          <w:tcPr>
            <w:tcW w:w="4112" w:type="dxa"/>
          </w:tcPr>
          <w:p w14:paraId="0C4EC8D2"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Meningitis</w:t>
            </w:r>
          </w:p>
        </w:tc>
        <w:tc>
          <w:tcPr>
            <w:tcW w:w="2835" w:type="dxa"/>
          </w:tcPr>
          <w:p w14:paraId="457ACF0B"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984" w:type="dxa"/>
          </w:tcPr>
          <w:p w14:paraId="1365C00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1.4</w:t>
            </w:r>
          </w:p>
        </w:tc>
      </w:tr>
      <w:tr w:rsidR="00703566" w:rsidRPr="00703566" w14:paraId="2B99ACA8" w14:textId="77777777" w:rsidTr="008A6F48">
        <w:tc>
          <w:tcPr>
            <w:tcW w:w="4112" w:type="dxa"/>
          </w:tcPr>
          <w:p w14:paraId="11C8C1A8"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Kidney disease</w:t>
            </w:r>
          </w:p>
        </w:tc>
        <w:tc>
          <w:tcPr>
            <w:tcW w:w="2835" w:type="dxa"/>
          </w:tcPr>
          <w:p w14:paraId="5DBA0D7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984" w:type="dxa"/>
          </w:tcPr>
          <w:p w14:paraId="45A37A5A"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1.4</w:t>
            </w:r>
          </w:p>
        </w:tc>
      </w:tr>
      <w:tr w:rsidR="00703566" w:rsidRPr="00703566" w14:paraId="25C44AD8" w14:textId="77777777" w:rsidTr="008A6F48">
        <w:tc>
          <w:tcPr>
            <w:tcW w:w="4112" w:type="dxa"/>
          </w:tcPr>
          <w:p w14:paraId="41817A5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Hyperthyroidism</w:t>
            </w:r>
          </w:p>
        </w:tc>
        <w:tc>
          <w:tcPr>
            <w:tcW w:w="2835" w:type="dxa"/>
          </w:tcPr>
          <w:p w14:paraId="1F3EC56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984" w:type="dxa"/>
          </w:tcPr>
          <w:p w14:paraId="4628C96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1.4</w:t>
            </w:r>
          </w:p>
        </w:tc>
      </w:tr>
      <w:tr w:rsidR="00703566" w:rsidRPr="00703566" w14:paraId="6A77B98A" w14:textId="77777777" w:rsidTr="008A6F48">
        <w:tc>
          <w:tcPr>
            <w:tcW w:w="4112" w:type="dxa"/>
          </w:tcPr>
          <w:p w14:paraId="7677F7B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Seizure</w:t>
            </w:r>
          </w:p>
        </w:tc>
        <w:tc>
          <w:tcPr>
            <w:tcW w:w="2835" w:type="dxa"/>
          </w:tcPr>
          <w:p w14:paraId="7366161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984" w:type="dxa"/>
          </w:tcPr>
          <w:p w14:paraId="2E6B6E6B"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1.4</w:t>
            </w:r>
          </w:p>
        </w:tc>
      </w:tr>
      <w:tr w:rsidR="00703566" w:rsidRPr="00703566" w14:paraId="00BF7BC9" w14:textId="77777777" w:rsidTr="008A6F48">
        <w:tc>
          <w:tcPr>
            <w:tcW w:w="4112" w:type="dxa"/>
          </w:tcPr>
          <w:p w14:paraId="0E15C598"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No history</w:t>
            </w:r>
          </w:p>
        </w:tc>
        <w:tc>
          <w:tcPr>
            <w:tcW w:w="2835" w:type="dxa"/>
          </w:tcPr>
          <w:p w14:paraId="7449FF41"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16</w:t>
            </w:r>
          </w:p>
        </w:tc>
        <w:tc>
          <w:tcPr>
            <w:tcW w:w="1984" w:type="dxa"/>
          </w:tcPr>
          <w:p w14:paraId="55D252C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30</w:t>
            </w:r>
          </w:p>
        </w:tc>
      </w:tr>
      <w:tr w:rsidR="00703566" w:rsidRPr="00703566" w14:paraId="4E4BFF33" w14:textId="77777777" w:rsidTr="008A6F48">
        <w:tc>
          <w:tcPr>
            <w:tcW w:w="4112" w:type="dxa"/>
          </w:tcPr>
          <w:p w14:paraId="4CFC846B"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Total </w:t>
            </w:r>
          </w:p>
        </w:tc>
        <w:tc>
          <w:tcPr>
            <w:tcW w:w="2835" w:type="dxa"/>
          </w:tcPr>
          <w:p w14:paraId="0E70D1C5"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100</w:t>
            </w:r>
          </w:p>
        </w:tc>
        <w:tc>
          <w:tcPr>
            <w:tcW w:w="1984" w:type="dxa"/>
          </w:tcPr>
          <w:p w14:paraId="192C29CB"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100</w:t>
            </w:r>
          </w:p>
        </w:tc>
      </w:tr>
    </w:tbl>
    <w:p w14:paraId="548A390B"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55BB3BF4"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0AF7DB22"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Table 7</w:t>
      </w:r>
      <w:r w:rsidRPr="00703566">
        <w:rPr>
          <w:rFonts w:ascii="Times New Roman" w:eastAsia="Calibri" w:hAnsi="Times New Roman" w:cs="Times New Roman"/>
          <w:sz w:val="24"/>
          <w:szCs w:val="24"/>
        </w:rPr>
        <w:t xml:space="preserve"> shows the past medical history of the selected samples. Majority of the people have hypertension (56), followed by diabetes mellitus in 20% of the people and heart disease in 2% of the total population. Cancer, meningitis, kidney disease, hyperthyroidism, seizure </w:t>
      </w:r>
      <w:proofErr w:type="gramStart"/>
      <w:r w:rsidRPr="00703566">
        <w:rPr>
          <w:rFonts w:ascii="Times New Roman" w:eastAsia="Calibri" w:hAnsi="Times New Roman" w:cs="Times New Roman"/>
          <w:sz w:val="24"/>
          <w:szCs w:val="24"/>
        </w:rPr>
        <w:t>were</w:t>
      </w:r>
      <w:proofErr w:type="gramEnd"/>
      <w:r w:rsidRPr="00703566">
        <w:rPr>
          <w:rFonts w:ascii="Times New Roman" w:eastAsia="Calibri" w:hAnsi="Times New Roman" w:cs="Times New Roman"/>
          <w:sz w:val="24"/>
          <w:szCs w:val="24"/>
        </w:rPr>
        <w:t xml:space="preserve"> found in 1% of the total population. Majority of the population suffer with more than one disease such as diabetes mellitus, hypertension etc. </w:t>
      </w:r>
    </w:p>
    <w:p w14:paraId="619E5282"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lastRenderedPageBreak/>
        <w:t xml:space="preserve"> According to</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10.1183/13993003.00547-2020","author":[{"dropping-particle":"","family":"Guan","given":"Wei-Jie","non-dropping-particle":"","parse-names":false,"suffix":""},{"dropping-particle":"","family":"Liang","given":"Wen-Hua","non-dropping-particle":"","parse-names":false,"suffix":""},{"dropping-particle":"","family":"Zhao","given":"Yi","non-dropping-particle":"","parse-names":false,"suffix":""},{"dropping-particle":"","family":"Liang","given":"Heng-Rui","non-dropping-particle":"","parse-names":false,"suffix":""},{"dropping-particle":"","family":"Chen","given":"Zi-Sheng","non-dropping-particle":"","parse-names":false,"suffix":""},{"dropping-particle":"","family":"Li","given":"Yi-Min","non-dropping-particle":"","parse-names":false,"suffix":""},{"dropping-particle":"","family":"Liu","given":"Xiao-Qing","non-dropping-particle":"","parse-names":false,"suffix":""},{"dropping-particle":"","family":"Chen","given":"Ru-Chong","non-dropping-particle":"","parse-names":false,"suffix":""},{"dropping-particle":"","family":"Tang","given":"Chun-Li","non-dropping-particle":"","parse-names":false,"suffix":""},{"dropping-particle":"","family":"Wang","given":"Tao","non-dropping-particle":"","parse-names":false,"suffix":""},{"dropping-particle":"","family":"Ou","given":"Chun-Quan","non-dropping-particle":"","parse-names":false,"suffix":""},{"dropping-particle":"","family":"Li","given":"Li","non-dropping-particle":"","parse-names":false,"suffix":""},{"dropping-particle":"","family":"Chen","given":"Ping-Yan","non-dropping-particle":"","parse-names":false,"suffix":""},{"dropping-particle":"","family":"Sang","given":"Ling","non-dropping-particle":"","parse-names":false,"suffix":""},{"dropping-particle":"","family":"Wang","given":"Wei","non-dropping-particle":"","parse-names":false,"suffix":""},{"dropping-particle":"","family":"Li","given":"Jian-Fu","non-dropping-particle":"","parse-names":false,"suffix":""},{"dropping-particle":"","family":"Li","given":"Cai-Chen","non-dropping-particle":"","parse-names":false,"suffix":""},{"dropping-particle":"","family":"Ou","given":"Li-Min","non-dropping-particle":"","parse-names":false,"suffix":""},{"dropping-particle":"","family":"Cheng","given":"Bo","non-dropping-particle":"","parse-names":false,"suffix":""},{"dropping-particle":"","family":"Xiong","given":"Shan","non-dropping-particle":"","parse-names":false,"suffix":""},{"dropping-particle":"","family":"Ni","given":"Zheng-Yi","non-dropping-particle":"","parse-names":false,"suffix":""},{"dropping-particle":"","family":"Xiang","given":"Jie","non-dropping-particle":"","parse-names":false,"suffix":""},{"dropping-particle":"","family":"Hu","given":"Yu","non-dropping-particle":"","parse-names":false,"suffix":""},{"dropping-particle":"","family":"Liu","given":"Lei","non-dropping-particle":"","parse-names":false,"suffix":""},{"dropping-particle":"","family":"Shan","given":"Hong","non-dropping-particle":"","parse-names":false,"suffix":""},{"dropping-particle":"","family":"Lei","given":"Chun-Liang","non-dropping-particle":"","parse-names":false,"suffix":""},{"dropping-particle":"","family":"Peng","given":"Yi-Xiang","non-dropping-particle":"","parse-names":false,"suffix":""},{"dropping-particle":"","family":"Wei","given":"Li","non-dropping-particle":"","parse-names":false,"suffix":""},{"dropping-particle":"","family":"Liu","given":"Yong","non-dropping-particle":"","parse-names":false,"suffix":""},{"dropping-particle":"","family":"Hu","given":"Ya-Hua","non-dropping-particle":"","parse-names":false,"suffix":""},{"dropping-particle":"","family":"Peng","given":"Peng","non-dropping-particle":"","parse-names":false,"suffix":""},{"dropping-particle":"","family":"Wang","given":"Jian-Ming","non-dropping-particle":"","parse-names":false,"suffix":""},{"dropping-particle":"","family":"Liu","given":"Ji-Yang","non-dropping-particle":"","parse-names":false,"suffix":""},{"dropping-particle":"","family":"Chen","given":"Zhong","non-dropping-particle":"","parse-names":false,"suffix":""},{"dropping-particle":"","family":"Li","given":"Gang","non-dropping-particle":"","parse-names":false,"suffix":""},{"dropping-particle":"","family":"Zheng","given":"Zhi-Jian","non-dropping-particle":"","parse-names":false,"suffix":""},{"dropping-particle":"","family":"Qiu","given":"Shao-Qin","non-dropping-particle":"","parse-names":false,"suffix":""},{"dropping-particle":"","family":"Luo","given":"Jie","non-dropping-particle":"","parse-names":false,"suffix":""},{"dropping-particle":"","family":"Ye","given":"Chang-Jiang","non-dropping-particle":"","parse-names":false,"suffix":""},{"dropping-particle":"","family":"Zhu","given":"Shao-Yong","non-dropping-particle":"","parse-names":false,"suffix":""},{"dropping-particle":"","family":"Cheng","given":"Lin-Ling","non-dropping-particle":"","parse-names":false,"suffix":""},{"dropping-particle":"","family":"Ye","given":"Feng","non-dropping-particle":"","parse-names":false,"suffix":""},{"dropping-particle":"","family":"Li","given":"Shi-Yue","non-dropping-particle":"","parse-names":false,"suffix":""},{"dropping-particle":"","family":"Zheng","given":"Jin-Ping","non-dropping-particle":"","parse-names":false,"suffix":""},{"dropping-particle":"","family":"Zhang","given":"Nuo-Fu","non-dropping-particle":"","parse-names":false,"suffix":""},{"dropping-particle":"","family":"Zhong","given":"Nan-Shan","non-dropping-particle":"","parse-names":false,"suffix":""},{"dropping-particle":"","family":"He","given":"Jian-Xing","non-dropping-particle":"","parse-names":false,"suffix":""}],"id":"ITEM-1","issued":{"date-parts":[["0"]]},"title":"Comorbidity and its impact on 1590 patients with COVID-19 in China: a nationwide analysis","type":"article-journal"},"uris":["http://www.mendeley.com/documents/?uuid=10de85d6-4261-3caa-9966-0830ab4b6d00"]}],"mendeley":{"formattedCitation":"(Guan et al., n.d.)","manualFormatting":" Guan et al.,(2019)","plainTextFormattedCitation":"(Guan et al., n.d.)","previouslyFormattedCitation":"(Guan et al., n.d.)"},"properties":{"noteIndex":0},"schema":"https://github.com/citation-style-language/schema/raw/master/csl-citation.json"}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 xml:space="preserve"> Guan et al.,(2019)</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the clinical forms of COVID-19 are heterogeneous. At the time of admission, 20–51% of patients had at least one comorbidity, with diabetes (10–20%), hypertension (10–15%), and other cardiovascular and cerebrovascular disorders (7–40%) being the most prominent. Extreme cases were more likely than non-severe cases to have two or more comorbidities (40.0 percent versus 29.4%). Patients with two or more comorbidities were older (mean age 66.2 versus 58.2 years), and they were more likely to have multiple comorbidities.</w:t>
      </w:r>
    </w:p>
    <w:p w14:paraId="11D0370C"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7BDC7776"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ab/>
      </w:r>
      <w:r w:rsidRPr="00703566">
        <w:rPr>
          <w:rFonts w:ascii="Times New Roman" w:hAnsi="Times New Roman" w:cs="Times New Roman"/>
          <w:b/>
          <w:bCs/>
          <w:sz w:val="24"/>
          <w:szCs w:val="24"/>
          <w:lang w:val="en-US"/>
        </w:rPr>
        <w:tab/>
      </w:r>
      <w:r w:rsidRPr="00703566">
        <w:rPr>
          <w:rFonts w:ascii="Times New Roman" w:hAnsi="Times New Roman" w:cs="Times New Roman"/>
          <w:b/>
          <w:bCs/>
          <w:sz w:val="24"/>
          <w:szCs w:val="24"/>
          <w:lang w:val="en-US"/>
        </w:rPr>
        <w:tab/>
      </w:r>
      <w:r w:rsidRPr="00703566">
        <w:rPr>
          <w:rFonts w:ascii="Times New Roman" w:hAnsi="Times New Roman" w:cs="Times New Roman"/>
          <w:b/>
          <w:bCs/>
          <w:sz w:val="24"/>
          <w:szCs w:val="24"/>
          <w:lang w:val="en-US"/>
        </w:rPr>
        <w:tab/>
        <w:t xml:space="preserve">Table 8 </w:t>
      </w:r>
    </w:p>
    <w:p w14:paraId="53DFDB3C"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4.5.2 Worsening of Existing Disease in Target Group</w:t>
      </w:r>
    </w:p>
    <w:p w14:paraId="4DEA5FE4"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p>
    <w:tbl>
      <w:tblPr>
        <w:tblStyle w:val="TableGrid2"/>
        <w:tblW w:w="8824" w:type="dxa"/>
        <w:jc w:val="center"/>
        <w:tblLook w:val="04A0" w:firstRow="1" w:lastRow="0" w:firstColumn="1" w:lastColumn="0" w:noHBand="0" w:noVBand="1"/>
      </w:tblPr>
      <w:tblGrid>
        <w:gridCol w:w="1784"/>
        <w:gridCol w:w="966"/>
        <w:gridCol w:w="1349"/>
        <w:gridCol w:w="816"/>
        <w:gridCol w:w="1349"/>
        <w:gridCol w:w="1211"/>
        <w:gridCol w:w="1349"/>
      </w:tblGrid>
      <w:tr w:rsidR="00703566" w:rsidRPr="00703566" w14:paraId="10110F22" w14:textId="77777777" w:rsidTr="008A6F48">
        <w:trPr>
          <w:trHeight w:val="674"/>
          <w:jc w:val="center"/>
        </w:trPr>
        <w:tc>
          <w:tcPr>
            <w:tcW w:w="1784" w:type="dxa"/>
          </w:tcPr>
          <w:p w14:paraId="336D9887"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Diseases </w:t>
            </w:r>
          </w:p>
        </w:tc>
        <w:tc>
          <w:tcPr>
            <w:tcW w:w="966" w:type="dxa"/>
          </w:tcPr>
          <w:p w14:paraId="0E813FB3"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Female </w:t>
            </w:r>
          </w:p>
        </w:tc>
        <w:tc>
          <w:tcPr>
            <w:tcW w:w="1349" w:type="dxa"/>
          </w:tcPr>
          <w:p w14:paraId="0F75628A"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Percentage </w:t>
            </w:r>
          </w:p>
        </w:tc>
        <w:tc>
          <w:tcPr>
            <w:tcW w:w="816" w:type="dxa"/>
          </w:tcPr>
          <w:p w14:paraId="2551F790"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Male </w:t>
            </w:r>
          </w:p>
        </w:tc>
        <w:tc>
          <w:tcPr>
            <w:tcW w:w="1349" w:type="dxa"/>
          </w:tcPr>
          <w:p w14:paraId="54932854"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Percentage </w:t>
            </w:r>
          </w:p>
        </w:tc>
        <w:tc>
          <w:tcPr>
            <w:tcW w:w="1211" w:type="dxa"/>
          </w:tcPr>
          <w:p w14:paraId="2C7EF044"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Total </w:t>
            </w:r>
          </w:p>
        </w:tc>
        <w:tc>
          <w:tcPr>
            <w:tcW w:w="1349" w:type="dxa"/>
          </w:tcPr>
          <w:p w14:paraId="1CD41AB3"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Percentage </w:t>
            </w:r>
          </w:p>
        </w:tc>
      </w:tr>
      <w:tr w:rsidR="00703566" w:rsidRPr="00703566" w14:paraId="6ADB16C5" w14:textId="77777777" w:rsidTr="008A6F48">
        <w:trPr>
          <w:trHeight w:val="694"/>
          <w:jc w:val="center"/>
        </w:trPr>
        <w:tc>
          <w:tcPr>
            <w:tcW w:w="1784" w:type="dxa"/>
          </w:tcPr>
          <w:p w14:paraId="797E577A"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Diabetes Mellitus</w:t>
            </w:r>
          </w:p>
        </w:tc>
        <w:tc>
          <w:tcPr>
            <w:tcW w:w="966" w:type="dxa"/>
          </w:tcPr>
          <w:p w14:paraId="7EEED223"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16</w:t>
            </w:r>
          </w:p>
        </w:tc>
        <w:tc>
          <w:tcPr>
            <w:tcW w:w="1349" w:type="dxa"/>
          </w:tcPr>
          <w:p w14:paraId="2B007B6F"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16</w:t>
            </w:r>
          </w:p>
        </w:tc>
        <w:tc>
          <w:tcPr>
            <w:tcW w:w="816" w:type="dxa"/>
          </w:tcPr>
          <w:p w14:paraId="4C8C0865"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6</w:t>
            </w:r>
          </w:p>
        </w:tc>
        <w:tc>
          <w:tcPr>
            <w:tcW w:w="1349" w:type="dxa"/>
          </w:tcPr>
          <w:p w14:paraId="332AF7F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6</w:t>
            </w:r>
          </w:p>
        </w:tc>
        <w:tc>
          <w:tcPr>
            <w:tcW w:w="1211" w:type="dxa"/>
          </w:tcPr>
          <w:p w14:paraId="12768596"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22</w:t>
            </w:r>
          </w:p>
        </w:tc>
        <w:tc>
          <w:tcPr>
            <w:tcW w:w="1349" w:type="dxa"/>
          </w:tcPr>
          <w:p w14:paraId="67EF8556"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22</w:t>
            </w:r>
          </w:p>
        </w:tc>
      </w:tr>
      <w:tr w:rsidR="00703566" w:rsidRPr="00703566" w14:paraId="2EA53B79" w14:textId="77777777" w:rsidTr="008A6F48">
        <w:trPr>
          <w:trHeight w:val="674"/>
          <w:jc w:val="center"/>
        </w:trPr>
        <w:tc>
          <w:tcPr>
            <w:tcW w:w="1784" w:type="dxa"/>
          </w:tcPr>
          <w:p w14:paraId="72057E4C"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 xml:space="preserve">Hypertension </w:t>
            </w:r>
          </w:p>
        </w:tc>
        <w:tc>
          <w:tcPr>
            <w:tcW w:w="966" w:type="dxa"/>
          </w:tcPr>
          <w:p w14:paraId="57CB17D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20</w:t>
            </w:r>
          </w:p>
        </w:tc>
        <w:tc>
          <w:tcPr>
            <w:tcW w:w="1349" w:type="dxa"/>
          </w:tcPr>
          <w:p w14:paraId="255E0159"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20</w:t>
            </w:r>
          </w:p>
        </w:tc>
        <w:tc>
          <w:tcPr>
            <w:tcW w:w="816" w:type="dxa"/>
          </w:tcPr>
          <w:p w14:paraId="22668B4D"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12</w:t>
            </w:r>
          </w:p>
        </w:tc>
        <w:tc>
          <w:tcPr>
            <w:tcW w:w="1349" w:type="dxa"/>
          </w:tcPr>
          <w:p w14:paraId="52FAC5E3"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12</w:t>
            </w:r>
          </w:p>
        </w:tc>
        <w:tc>
          <w:tcPr>
            <w:tcW w:w="1211" w:type="dxa"/>
          </w:tcPr>
          <w:p w14:paraId="7986892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32</w:t>
            </w:r>
          </w:p>
        </w:tc>
        <w:tc>
          <w:tcPr>
            <w:tcW w:w="1349" w:type="dxa"/>
          </w:tcPr>
          <w:p w14:paraId="3948886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46</w:t>
            </w:r>
          </w:p>
        </w:tc>
      </w:tr>
      <w:tr w:rsidR="00703566" w:rsidRPr="00703566" w14:paraId="154DD4C0" w14:textId="77777777" w:rsidTr="008A6F48">
        <w:trPr>
          <w:trHeight w:val="674"/>
          <w:jc w:val="center"/>
        </w:trPr>
        <w:tc>
          <w:tcPr>
            <w:tcW w:w="1784" w:type="dxa"/>
          </w:tcPr>
          <w:p w14:paraId="13E74DF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Heart disease</w:t>
            </w:r>
          </w:p>
        </w:tc>
        <w:tc>
          <w:tcPr>
            <w:tcW w:w="966" w:type="dxa"/>
          </w:tcPr>
          <w:p w14:paraId="2BA63793"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349" w:type="dxa"/>
          </w:tcPr>
          <w:p w14:paraId="22AEC32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816" w:type="dxa"/>
          </w:tcPr>
          <w:p w14:paraId="25811385"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3</w:t>
            </w:r>
          </w:p>
        </w:tc>
        <w:tc>
          <w:tcPr>
            <w:tcW w:w="1349" w:type="dxa"/>
          </w:tcPr>
          <w:p w14:paraId="63D6AE2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3</w:t>
            </w:r>
          </w:p>
        </w:tc>
        <w:tc>
          <w:tcPr>
            <w:tcW w:w="1211" w:type="dxa"/>
          </w:tcPr>
          <w:p w14:paraId="3DE504E3"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4</w:t>
            </w:r>
          </w:p>
        </w:tc>
        <w:tc>
          <w:tcPr>
            <w:tcW w:w="1349" w:type="dxa"/>
          </w:tcPr>
          <w:p w14:paraId="15F93AB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4</w:t>
            </w:r>
          </w:p>
        </w:tc>
      </w:tr>
      <w:tr w:rsidR="00703566" w:rsidRPr="00703566" w14:paraId="65B1F519" w14:textId="77777777" w:rsidTr="008A6F48">
        <w:trPr>
          <w:trHeight w:val="694"/>
          <w:jc w:val="center"/>
        </w:trPr>
        <w:tc>
          <w:tcPr>
            <w:tcW w:w="1784" w:type="dxa"/>
          </w:tcPr>
          <w:p w14:paraId="65E7768E"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Kidney disease</w:t>
            </w:r>
          </w:p>
        </w:tc>
        <w:tc>
          <w:tcPr>
            <w:tcW w:w="966" w:type="dxa"/>
          </w:tcPr>
          <w:p w14:paraId="7BBC174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0</w:t>
            </w:r>
          </w:p>
        </w:tc>
        <w:tc>
          <w:tcPr>
            <w:tcW w:w="1349" w:type="dxa"/>
          </w:tcPr>
          <w:p w14:paraId="79D4E124"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0</w:t>
            </w:r>
          </w:p>
        </w:tc>
        <w:tc>
          <w:tcPr>
            <w:tcW w:w="816" w:type="dxa"/>
          </w:tcPr>
          <w:p w14:paraId="76CE1BAF"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349" w:type="dxa"/>
          </w:tcPr>
          <w:p w14:paraId="5C090148"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211" w:type="dxa"/>
          </w:tcPr>
          <w:p w14:paraId="608318F8"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c>
          <w:tcPr>
            <w:tcW w:w="1349" w:type="dxa"/>
          </w:tcPr>
          <w:p w14:paraId="2061DEED"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w:t>
            </w:r>
          </w:p>
        </w:tc>
      </w:tr>
      <w:tr w:rsidR="00703566" w:rsidRPr="00703566" w14:paraId="7BEF1CAA" w14:textId="77777777" w:rsidTr="008A6F48">
        <w:trPr>
          <w:trHeight w:val="674"/>
          <w:jc w:val="center"/>
        </w:trPr>
        <w:tc>
          <w:tcPr>
            <w:tcW w:w="1784" w:type="dxa"/>
          </w:tcPr>
          <w:p w14:paraId="7714B976"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No worsening</w:t>
            </w:r>
          </w:p>
        </w:tc>
        <w:tc>
          <w:tcPr>
            <w:tcW w:w="966" w:type="dxa"/>
          </w:tcPr>
          <w:p w14:paraId="711BEDF5"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0</w:t>
            </w:r>
          </w:p>
        </w:tc>
        <w:tc>
          <w:tcPr>
            <w:tcW w:w="1349" w:type="dxa"/>
          </w:tcPr>
          <w:p w14:paraId="5784C73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0</w:t>
            </w:r>
          </w:p>
        </w:tc>
        <w:tc>
          <w:tcPr>
            <w:tcW w:w="816" w:type="dxa"/>
          </w:tcPr>
          <w:p w14:paraId="1BDB6286"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27</w:t>
            </w:r>
          </w:p>
        </w:tc>
        <w:tc>
          <w:tcPr>
            <w:tcW w:w="1349" w:type="dxa"/>
          </w:tcPr>
          <w:p w14:paraId="4A5F647A"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27</w:t>
            </w:r>
          </w:p>
        </w:tc>
        <w:tc>
          <w:tcPr>
            <w:tcW w:w="1211" w:type="dxa"/>
          </w:tcPr>
          <w:p w14:paraId="489E8632"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27</w:t>
            </w:r>
          </w:p>
        </w:tc>
        <w:tc>
          <w:tcPr>
            <w:tcW w:w="1349" w:type="dxa"/>
          </w:tcPr>
          <w:p w14:paraId="048EF8E5"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27</w:t>
            </w:r>
          </w:p>
        </w:tc>
      </w:tr>
    </w:tbl>
    <w:p w14:paraId="1F2B9DCC"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67514E49"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sz w:val="24"/>
          <w:szCs w:val="24"/>
          <w:lang w:val="en-US"/>
        </w:rPr>
        <w:t xml:space="preserve">Table 5 shows the worsening of existing morbidities in target group in which majority of the target group had hypertension (46%), followed by 22% people with diabetes, heart disease in 4% of the total population and kidney disease in about 1%. 27% of people had no health issues or worsening of existing disease. Table 5 also </w:t>
      </w:r>
      <w:bookmarkStart w:id="14" w:name="_Hlk68528413"/>
      <w:r w:rsidRPr="00703566">
        <w:rPr>
          <w:rFonts w:ascii="Times New Roman" w:hAnsi="Times New Roman" w:cs="Times New Roman"/>
          <w:sz w:val="24"/>
          <w:szCs w:val="24"/>
          <w:lang w:val="en-US"/>
        </w:rPr>
        <w:t xml:space="preserve">reveals that worsening of existing </w:t>
      </w:r>
      <w:proofErr w:type="gramStart"/>
      <w:r w:rsidRPr="00703566">
        <w:rPr>
          <w:rFonts w:ascii="Times New Roman" w:hAnsi="Times New Roman" w:cs="Times New Roman"/>
          <w:sz w:val="24"/>
          <w:szCs w:val="24"/>
          <w:lang w:val="en-US"/>
        </w:rPr>
        <w:t>morbidities  were</w:t>
      </w:r>
      <w:proofErr w:type="gramEnd"/>
      <w:r w:rsidRPr="00703566">
        <w:rPr>
          <w:rFonts w:ascii="Times New Roman" w:hAnsi="Times New Roman" w:cs="Times New Roman"/>
          <w:sz w:val="24"/>
          <w:szCs w:val="24"/>
          <w:lang w:val="en-US"/>
        </w:rPr>
        <w:t xml:space="preserve"> found more in females. </w:t>
      </w:r>
    </w:p>
    <w:bookmarkEnd w:id="14"/>
    <w:p w14:paraId="353522AF"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lastRenderedPageBreak/>
        <w:t>By worsening clinical outcomes in terms of higher disease severity, co-morbidities increase vulnerability, risk of mortality, and decrease survival rate in COVID-19 patients.</w:t>
      </w:r>
      <w:r w:rsidRPr="00703566">
        <w:rPr>
          <w:rFonts w:ascii="Times New Roman" w:eastAsia="Calibri" w:hAnsi="Times New Roman" w:cs="Times New Roman"/>
          <w:sz w:val="24"/>
          <w:szCs w:val="24"/>
        </w:rPr>
        <w:t xml:space="preserve"> </w:t>
      </w:r>
      <w:r w:rsidRPr="00703566">
        <w:rPr>
          <w:rFonts w:ascii="Times New Roman" w:hAnsi="Times New Roman" w:cs="Times New Roman"/>
          <w:sz w:val="24"/>
          <w:szCs w:val="24"/>
          <w:lang w:val="en-US"/>
        </w:rPr>
        <w:t>Individuals without co-morbidities have been shown to have a greater chance of survival and a lower mortality rate.</w:t>
      </w:r>
      <w:r w:rsidRPr="00703566">
        <w:rPr>
          <w:rFonts w:ascii="Times New Roman" w:eastAsia="Calibri" w:hAnsi="Times New Roman" w:cs="Times New Roman"/>
          <w:sz w:val="24"/>
          <w:szCs w:val="24"/>
        </w:rPr>
        <w:t xml:space="preserve"> </w:t>
      </w:r>
      <w:r w:rsidRPr="00703566">
        <w:rPr>
          <w:rFonts w:ascii="Times New Roman" w:hAnsi="Times New Roman" w:cs="Times New Roman"/>
          <w:sz w:val="24"/>
          <w:szCs w:val="24"/>
          <w:lang w:val="en-US"/>
        </w:rPr>
        <w:t xml:space="preserve">During SARS-CoV-2 infection, heart disease, hypertension, and diabetes are all linked to a worsening of disease severity </w:t>
      </w:r>
      <w:r w:rsidRPr="00703566">
        <w:rPr>
          <w:rFonts w:ascii="Times New Roman" w:hAnsi="Times New Roman" w:cs="Times New Roman"/>
          <w:sz w:val="24"/>
          <w:szCs w:val="24"/>
          <w:lang w:val="en-US"/>
        </w:rPr>
        <w:fldChar w:fldCharType="begin" w:fldLock="1"/>
      </w:r>
      <w:r w:rsidRPr="00703566">
        <w:rPr>
          <w:rFonts w:ascii="Times New Roman" w:hAnsi="Times New Roman" w:cs="Times New Roman"/>
          <w:sz w:val="24"/>
          <w:szCs w:val="24"/>
          <w:lang w:val="en-US"/>
        </w:rPr>
        <w:instrText>ADDIN CSL_CITATION {"citationItems":[{"id":"ITEM-1","itemData":{"DOI":"10.22207/JPAM.14.3.01","ISSN":"2581690X","abstract":"Newly emerging severe acute respiratory syndrome coronavirus 2 (SARS-CoV-2) causing coronavirus disease 2019 (COVID-19) pandemic has now spread across the globe in past few months while affecting 26 million people and leading to more than 0.85 million deaths as on 2nd September, 2020. Severity of SARS-CoV-2 infection increases in COVID-19 patients due to pre-existing health co-morbidities. This mini-review has focused on the three significant co-morbidities viz., heart disease, hypertension, and diabetes, which are posing high health concerns and increased mortality during this ongoing pandemic. The observed co-morbidities have been found to be associated with the increasing risk factors for SARS-CoV-2 infection and COVID-19 critical illness as well as to be associated positively with the worsening of the health condition of COVID-19 suffering individuals resulting in the high risk for mortality. SARS-CoV-2 enters host cell via angiotensin-converting enzyme 2 receptors. Regulation of crucial cardiovascular functions and metabolisms like blood pressure and sugar levels are being carried out by ACE2. This might be one of the reasons that contribute to the higher mortality in COVID-19 patients having co-morbidities. Clinical investigations have identified higher levels of creatinine, cardiac troponin I, alanine aminotransferase, NT-proBNP, creatine kinase, D-dimer, aspartate aminotransferase and lactate dehydrogenase in patients who have succumbed to death from COVID-19 as compared to recovered individuals. More investigations are required to identify the modes behind increased mortality in COVID-19 patients having co-morbidities of heart disease, hypertension, and diabetes. This will enable us to design and develop suitable therapeutic strategies for reducing the mortality. More attention and critical care need to be paid to such high risk patients suffering from co-morbidities during COVID-19 pandemic.","author":[{"dropping-particle":"","family":"Arumugam","given":"Vijaya Anand","non-dropping-particle":"","parse-names":false,"suffix":""},{"dropping-particle":"","family":"Thangavelu","given":"Sangeetha","non-dropping-particle":"","parse-names":false,"suffix":""},{"dropping-particle":"","family":"Fathah","given":"Zareena","non-dropping-particle":"","parse-names":false,"suffix":""},{"dropping-particle":"","family":"Ravindran","given":"Pavithra","non-dropping-particle":"","parse-names":false,"suffix":""},{"dropping-particle":"","family":"Sanjeev","given":"Ann Mary Alappat","non-dropping-particle":"","parse-names":false,"suffix":""},{"dropping-particle":"","family":"Babu","given":"Sunantha","non-dropping-particle":"","parse-names":false,"suffix":""},{"dropping-particle":"","family":"Meyyazhagan","given":"Arun","non-dropping-particle":"","parse-names":false,"suffix":""},{"dropping-particle":"","family":"Yatoo","given":"Mohd Iqbal","non-dropping-particle":"","parse-names":false,"suffix":""},{"dropping-particle":"","family":"Sharun","given":"Khan","non-dropping-particle":"","parse-names":false,"suffix":""},{"dropping-particle":"","family":"Tiwari","given":"Ruchi","non-dropping-particle":"","parse-names":false,"suffix":""},{"dropping-particle":"","family":"Pandey","given":"Megha Katare","non-dropping-particle":"","parse-names":false,"suffix":""},{"dropping-particle":"","family":"Sah","given":"Ranjit","non-dropping-particle":"","parse-names":false,"suffix":""},{"dropping-particle":"","family":"Chandra","given":"Ram","non-dropping-particle":"","parse-names":false,"suffix":""},{"dropping-particle":"","family":"Dhama","given":"Kuldeep","non-dropping-particle":"","parse-names":false,"suffix":""}],"container-title":"Journal of Pure and Applied Microbiology","id":"ITEM-1","issue":"3","issued":{"date-parts":[["2020","9","1"]]},"page":"1623-1638","publisher":"Journal of Pure and Applied Microbiology","title":"COVID-19 and the world with co-morbidities of heart disease, hypertension and diabetes","type":"article","volume":"14"},"uris":["http://www.mendeley.com/documents/?uuid=788602ca-0aae-3e59-b135-3583d63f2d97"]}],"mendeley":{"formattedCitation":"(Arumugam et al., 2020)","plainTextFormattedCitation":"(Arumugam et al., 2020)","previouslyFormattedCitation":"(Arumugam et al., 2020)"},"properties":{"noteIndex":0},"schema":"https://github.com/citation-style-language/schema/raw/master/csl-citation.json"}</w:instrText>
      </w:r>
      <w:r w:rsidRPr="00703566">
        <w:rPr>
          <w:rFonts w:ascii="Times New Roman" w:hAnsi="Times New Roman" w:cs="Times New Roman"/>
          <w:sz w:val="24"/>
          <w:szCs w:val="24"/>
          <w:lang w:val="en-US"/>
        </w:rPr>
        <w:fldChar w:fldCharType="separate"/>
      </w:r>
      <w:r w:rsidRPr="00703566">
        <w:rPr>
          <w:rFonts w:ascii="Times New Roman" w:hAnsi="Times New Roman" w:cs="Times New Roman"/>
          <w:noProof/>
          <w:sz w:val="24"/>
          <w:szCs w:val="24"/>
          <w:lang w:val="en-US"/>
        </w:rPr>
        <w:t>(Arumugam et al., 2020)</w:t>
      </w:r>
      <w:r w:rsidRPr="00703566">
        <w:rPr>
          <w:rFonts w:ascii="Times New Roman" w:hAnsi="Times New Roman" w:cs="Times New Roman"/>
          <w:sz w:val="24"/>
          <w:szCs w:val="24"/>
          <w:lang w:val="en-US"/>
        </w:rPr>
        <w:fldChar w:fldCharType="end"/>
      </w:r>
      <w:r w:rsidRPr="00703566">
        <w:rPr>
          <w:rFonts w:ascii="Times New Roman" w:hAnsi="Times New Roman" w:cs="Times New Roman"/>
          <w:sz w:val="24"/>
          <w:szCs w:val="24"/>
          <w:lang w:val="en-US"/>
        </w:rPr>
        <w:t>.</w:t>
      </w:r>
    </w:p>
    <w:p w14:paraId="52805715"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2099B3B9"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439073AF"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 xml:space="preserve">                        </w:t>
      </w:r>
      <w:r w:rsidRPr="00703566">
        <w:rPr>
          <w:rFonts w:ascii="Times New Roman" w:eastAsia="Calibri" w:hAnsi="Times New Roman" w:cs="Times New Roman"/>
          <w:noProof/>
          <w:sz w:val="24"/>
          <w:szCs w:val="24"/>
        </w:rPr>
        <w:drawing>
          <wp:inline distT="0" distB="0" distL="0" distR="0" wp14:anchorId="17F657EF" wp14:editId="60981927">
            <wp:extent cx="4572000" cy="2743200"/>
            <wp:effectExtent l="0" t="0" r="0" b="0"/>
            <wp:docPr id="37" name="Chart 37">
              <a:extLst xmlns:a="http://schemas.openxmlformats.org/drawingml/2006/main">
                <a:ext uri="{FF2B5EF4-FFF2-40B4-BE49-F238E27FC236}">
                  <a16:creationId xmlns:a16="http://schemas.microsoft.com/office/drawing/2014/main" id="{EC2FF61E-F682-4AF8-9810-C4D34576A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B2D240"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42389447"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0F9D3605"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Figure   11</w:t>
      </w:r>
    </w:p>
    <w:p w14:paraId="1D2E2992"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4.5.3 Respiratory Strength of Selected Samples</w:t>
      </w:r>
    </w:p>
    <w:p w14:paraId="0EFD9205"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b/>
          <w:bCs/>
          <w:sz w:val="24"/>
          <w:szCs w:val="24"/>
          <w:lang w:val="en-US"/>
        </w:rPr>
        <w:t>Figure 11</w:t>
      </w:r>
      <w:r w:rsidRPr="00703566">
        <w:rPr>
          <w:rFonts w:ascii="Times New Roman" w:hAnsi="Times New Roman" w:cs="Times New Roman"/>
          <w:sz w:val="24"/>
          <w:szCs w:val="24"/>
          <w:lang w:val="en-US"/>
        </w:rPr>
        <w:t xml:space="preserve">   demonstrate the respiratory strength of the target group, which shows that </w:t>
      </w:r>
      <w:bookmarkStart w:id="15" w:name="_Hlk68528959"/>
      <w:r w:rsidRPr="00703566">
        <w:rPr>
          <w:rFonts w:ascii="Times New Roman" w:hAnsi="Times New Roman" w:cs="Times New Roman"/>
          <w:sz w:val="24"/>
          <w:szCs w:val="24"/>
          <w:lang w:val="en-US"/>
        </w:rPr>
        <w:t>50% of the people had abnormal respiratory strength, and remaining half of the samples had normal respiratory strength.</w:t>
      </w:r>
      <w:bookmarkEnd w:id="15"/>
      <w:r w:rsidRPr="00703566">
        <w:rPr>
          <w:rFonts w:ascii="Times New Roman" w:hAnsi="Times New Roman" w:cs="Times New Roman"/>
          <w:sz w:val="24"/>
          <w:szCs w:val="24"/>
          <w:lang w:val="en-US"/>
        </w:rPr>
        <w:t xml:space="preserve"> According to a retrospective conducted by </w:t>
      </w:r>
      <w:r w:rsidRPr="00703566">
        <w:rPr>
          <w:rFonts w:ascii="Times New Roman" w:hAnsi="Times New Roman" w:cs="Times New Roman"/>
          <w:sz w:val="24"/>
          <w:szCs w:val="24"/>
          <w:lang w:val="en-US"/>
        </w:rPr>
        <w:fldChar w:fldCharType="begin" w:fldLock="1"/>
      </w:r>
      <w:r w:rsidRPr="00703566">
        <w:rPr>
          <w:rFonts w:ascii="Times New Roman" w:hAnsi="Times New Roman" w:cs="Times New Roman"/>
          <w:sz w:val="24"/>
          <w:szCs w:val="24"/>
          <w:lang w:val="en-US"/>
        </w:rPr>
        <w:instrText>ADDIN CSL_CITATION {"citationItems":[{"id":"ITEM-1","itemData":{"DOI":"10.1186/s12931-020-01429-6","ISSN":"1465993X","PMID":"32600344","abstract":"Objective: This study investigated the influence of Coronavirus Disease 2019 (COVID-19) on lung function in early convalescence phase. Methods: A retrospective study of COVID-19 patients at the Fifth Affiliated Hospital of Sun Yat-sen University were conducted, with serial assessments including lung volumes (TLC), spirometry (FVC, FEV1), lung diffusing capacity for carbon monoxide (DLCO),respiratory muscle strength, 6-min walking distance (6MWD) and high resolution CT being collected at 30 days after discharged. Results: Fifty-seven patients completed the serial assessments. There were 40 non-severe cases and 17 severe cases. Thirty-one patients (54.3%) had abnormal CT findings. Abnormalities were detected in the pulmonary function tests in 43 (75.4%) of the patients. Six (10.5%), 5(8.7%), 25(43.8%) 7(12.3%), and 30 (52.6%) patients had FVC, FEV1, FEV1/FVC ratio, TLC, and DLCO values less than 80% of predicted values, respectively. 28 (49.1%) and 13 (22.8%) patients had PImax and PEmax values less than 80% of the corresponding predicted values. Compared with non-severe cases, severe patients showed higher incidence of DLCO impairment (75.6%vs42.5%, p = 0.019), higher lung total severity score (TSS) and R20, and significantly lower percentage of predicted TLC and 6MWD. No significant correlation between TSS and pulmonary function parameters was found during follow-up visit. Conclusion: Impaired diffusing-capacity, lower respiratory muscle strength, and lung imaging abnormalities were detected in more than half of the COVID-19 patients in early convalescence phase. Compared with non-severe cases, severe patients had a higher incidence of DLCO impairment and encountered more TLC decrease and 6MWD decline.","author":[{"dropping-particle":"","family":"Huang","given":"Yiying","non-dropping-particle":"","parse-names":false,"suffix":""},{"dropping-particle":"","family":"Tan","given":"Cuiyan","non-dropping-particle":"","parse-names":false,"suffix":""},{"dropping-particle":"","family":"Wu","given":"Jian","non-dropping-particle":"","parse-names":false,"suffix":""},{"dropping-particle":"","family":"Chen","given":"Meizhu","non-dropping-particle":"","parse-names":false,"suffix":""},{"dropping-particle":"","family":"Wang","given":"Zhenguo","non-dropping-particle":"","parse-names":false,"suffix":""},{"dropping-particle":"","family":"Luo","given":"Liyun","non-dropping-particle":"","parse-names":false,"suffix":""},{"dropping-particle":"","family":"Zhou","given":"Xiaorong","non-dropping-particle":"","parse-names":false,"suffix":""},{"dropping-particle":"","family":"Liu","given":"Xinran","non-dropping-particle":"","parse-names":false,"suffix":""},{"dropping-particle":"","family":"Huang","given":"Xiaoling","non-dropping-particle":"","parse-names":false,"suffix":""},{"dropping-particle":"","family":"Yuan","given":"Shican","non-dropping-particle":"","parse-names":false,"suffix":""},{"dropping-particle":"","family":"Chen","given":"Chaolin","non-dropping-particle":"","parse-names":false,"suffix":""},{"dropping-particle":"","family":"Gao","given":"Fen","non-dropping-particle":"","parse-names":false,"suffix":""},{"dropping-particle":"","family":"Huang","given":"Jin","non-dropping-particle":"","parse-names":false,"suffix":""},{"dropping-particle":"","family":"Shan","given":"Hong","non-dropping-particle":"","parse-names":false,"suffix":""},{"dropping-particle":"","family":"Liu","given":"Jing","non-dropping-particle":"","parse-names":false,"suffix":""}],"container-title":"Respiratory Research","id":"ITEM-1","issue":"1","issued":{"date-parts":[["2020","6","29"]]},"publisher":"BioMed Central","title":"Impact of coronavirus disease 2019 on pulmonary function in early convalescence phase","type":"article","volume":"21"},"uris":["http://www.mendeley.com/documents/?uuid=f7fef639-0600-3e7b-8cfb-c46fb8dcdd5a"]}],"mendeley":{"formattedCitation":"(Huang et al., 2020)","plainTextFormattedCitation":"(Huang et al., 2020)","previouslyFormattedCitation":"(Huang et al., 2020)"},"properties":{"noteIndex":0},"schema":"https://github.com/citation-style-language/schema/raw/master/csl-citation.json"}</w:instrText>
      </w:r>
      <w:r w:rsidRPr="00703566">
        <w:rPr>
          <w:rFonts w:ascii="Times New Roman" w:hAnsi="Times New Roman" w:cs="Times New Roman"/>
          <w:sz w:val="24"/>
          <w:szCs w:val="24"/>
          <w:lang w:val="en-US"/>
        </w:rPr>
        <w:fldChar w:fldCharType="separate"/>
      </w:r>
      <w:r w:rsidRPr="00703566">
        <w:rPr>
          <w:rFonts w:ascii="Times New Roman" w:hAnsi="Times New Roman" w:cs="Times New Roman"/>
          <w:noProof/>
          <w:sz w:val="24"/>
          <w:szCs w:val="24"/>
          <w:lang w:val="en-US"/>
        </w:rPr>
        <w:t>(Huang et al., 2020)</w:t>
      </w:r>
      <w:r w:rsidRPr="00703566">
        <w:rPr>
          <w:rFonts w:ascii="Times New Roman" w:hAnsi="Times New Roman" w:cs="Times New Roman"/>
          <w:sz w:val="24"/>
          <w:szCs w:val="24"/>
          <w:lang w:val="en-US"/>
        </w:rPr>
        <w:fldChar w:fldCharType="end"/>
      </w:r>
      <w:r w:rsidRPr="00703566">
        <w:rPr>
          <w:rFonts w:ascii="Times New Roman" w:hAnsi="Times New Roman" w:cs="Times New Roman"/>
          <w:sz w:val="24"/>
          <w:szCs w:val="24"/>
          <w:lang w:val="en-US"/>
        </w:rPr>
        <w:t>, significant lung impairment was found in the recovery phase of 57 adult COVID-19 patients</w:t>
      </w:r>
      <w:bookmarkStart w:id="16" w:name="_Hlk67213781"/>
      <w:r w:rsidRPr="00703566">
        <w:rPr>
          <w:rFonts w:ascii="Times New Roman" w:hAnsi="Times New Roman" w:cs="Times New Roman"/>
          <w:sz w:val="24"/>
          <w:szCs w:val="24"/>
          <w:lang w:val="en-US"/>
        </w:rPr>
        <w:t xml:space="preserve">. Majority of the samples had hypertension, and recent studies shows that there is a relationship between lung function and hypertension, where lung function is reduced  in hypertensive patients </w:t>
      </w:r>
      <w:r w:rsidRPr="00703566">
        <w:rPr>
          <w:rFonts w:ascii="Times New Roman" w:hAnsi="Times New Roman" w:cs="Times New Roman"/>
          <w:sz w:val="24"/>
          <w:szCs w:val="24"/>
          <w:lang w:val="en-US"/>
        </w:rPr>
        <w:fldChar w:fldCharType="begin" w:fldLock="1"/>
      </w:r>
      <w:r w:rsidRPr="00703566">
        <w:rPr>
          <w:rFonts w:ascii="Times New Roman" w:hAnsi="Times New Roman" w:cs="Times New Roman"/>
          <w:sz w:val="24"/>
          <w:szCs w:val="24"/>
          <w:lang w:val="en-US"/>
        </w:rPr>
        <w:instrText>ADDIN CSL_CITATION {"citationItems":[{"id":"ITEM-1","itemData":{"DOI":"10.1016/j.rmed.2014.09.016","ISSN":"15323064","PMID":"25448311","abstract":"Introduction: Lung function is inversely associated with coronary heart disease (CHD) and cardiovascular disease (CVD). We evaluated the prospective association of reduced lung function by spirometry and CHD or CVD events in older community-dwelling adults. Methods: We studied 1548 participants (mean age 73.6 ± 9.2 years, 42% males) from the Rancho Bernardo Study using age, sex, and risk-factor adjusted Cox regression to assess pulmonary function (FEV1, FVC, and FEV1/FVC ratio) as a predictor of CHD and CVD events followed for up to 22 years. Results: Of CVD risk factors, older age, male sex, current/past smoking, physical exercise (&lt;3 × a week), and prevalent CVD predicted an increased risk of CHD and CVD. Higher FEV1 and FVC were each associated with a decreased risk of CHD [HR 0.80 (0.73-0.88) for both FEV1 and FVC, per SD, p &lt; 0.01] and CVD [HR 0.82 (0.74-0.91) for both FEV1 and FVC, per SD, p &lt; 0.01]. Those in the lowest quartiles of FEV1 and FVC had hazard ratios of 1.68 (1.33-2.13) and 1.55 (1.21-2.00) respectively for CHD and 1.74 (1.34-2.25) and 1.49 (1.13-1.96) respectively for CVD (all p &lt; 0.01, relative to those in the highest quartile). Similar findings were observed for CHD and CVD mortality. Sex- and age-stratified analyses showed the strongest associations for CHD and CVD events in women and in the oldest participants. Conclusions: FEV1 and FVC are inversely associated with risk of future CHD and CVD events in older community-dwelling adults and may add to CVD risk stratification in the elderly.","author":[{"dropping-particle":"","family":"Lee","given":"Hwa Mu","non-dropping-particle":"","parse-names":false,"suffix":""},{"dropping-particle":"","family":"Liu","given":"Michael A.","non-dropping-particle":"","parse-names":false,"suffix":""},{"dropping-particle":"","family":"Barrett-Connor","given":"Elizabeth","non-dropping-particle":"","parse-names":false,"suffix":""},{"dropping-particle":"","family":"Wong","given":"Nathan D.","non-dropping-particle":"","parse-names":false,"suffix":""}],"container-title":"Respiratory Medicine","id":"ITEM-1","issue":"12","issued":{"date-parts":[["2014"]]},"page":"1779-1785","publisher":"W.B. Saunders Ltd","title":"Association of lung function with coronary heart disease and cardiovascular disease outcomes in elderly: The Rancho Bernardo study","type":"article-journal","volume":"108"},"uris":["http://www.mendeley.com/documents/?uuid=04d19696-2bab-3611-85f8-a1b3ef2a8f55"]}],"mendeley":{"formattedCitation":"(Lee et al., 2014)","plainTextFormattedCitation":"(Lee et al., 2014)","previouslyFormattedCitation":"(Lee et al., 2014)"},"properties":{"noteIndex":0},"schema":"https://github.com/citation-style-language/schema/raw/master/csl-citation.json"}</w:instrText>
      </w:r>
      <w:r w:rsidRPr="00703566">
        <w:rPr>
          <w:rFonts w:ascii="Times New Roman" w:hAnsi="Times New Roman" w:cs="Times New Roman"/>
          <w:sz w:val="24"/>
          <w:szCs w:val="24"/>
          <w:lang w:val="en-US"/>
        </w:rPr>
        <w:fldChar w:fldCharType="separate"/>
      </w:r>
      <w:r w:rsidRPr="00703566">
        <w:rPr>
          <w:rFonts w:ascii="Times New Roman" w:hAnsi="Times New Roman" w:cs="Times New Roman"/>
          <w:noProof/>
          <w:sz w:val="24"/>
          <w:szCs w:val="24"/>
          <w:lang w:val="en-US"/>
        </w:rPr>
        <w:t xml:space="preserve">(Lee </w:t>
      </w:r>
      <w:r w:rsidRPr="00703566">
        <w:rPr>
          <w:rFonts w:ascii="Times New Roman" w:hAnsi="Times New Roman" w:cs="Times New Roman"/>
          <w:noProof/>
          <w:sz w:val="24"/>
          <w:szCs w:val="24"/>
          <w:lang w:val="en-US"/>
        </w:rPr>
        <w:lastRenderedPageBreak/>
        <w:t>et al., 2014)</w:t>
      </w:r>
      <w:r w:rsidRPr="00703566">
        <w:rPr>
          <w:rFonts w:ascii="Times New Roman" w:hAnsi="Times New Roman" w:cs="Times New Roman"/>
          <w:sz w:val="24"/>
          <w:szCs w:val="24"/>
          <w:lang w:val="en-US"/>
        </w:rPr>
        <w:fldChar w:fldCharType="end"/>
      </w:r>
      <w:r w:rsidRPr="00703566">
        <w:rPr>
          <w:rFonts w:ascii="Times New Roman" w:hAnsi="Times New Roman" w:cs="Times New Roman"/>
          <w:sz w:val="24"/>
          <w:szCs w:val="24"/>
          <w:lang w:val="en-US"/>
        </w:rPr>
        <w:t xml:space="preserve">. </w:t>
      </w:r>
      <w:bookmarkStart w:id="17" w:name="_Hlk68529011"/>
      <w:r w:rsidRPr="00703566">
        <w:rPr>
          <w:rFonts w:ascii="Times New Roman" w:hAnsi="Times New Roman" w:cs="Times New Roman"/>
          <w:sz w:val="24"/>
          <w:szCs w:val="24"/>
          <w:lang w:val="en-US"/>
        </w:rPr>
        <w:t>The abnormal respiratory strength of samples, depends on their age, gender, morbidities (hypertension, heart disease)</w:t>
      </w:r>
      <w:bookmarkEnd w:id="17"/>
      <w:r w:rsidRPr="00703566">
        <w:rPr>
          <w:rFonts w:ascii="Times New Roman" w:hAnsi="Times New Roman" w:cs="Times New Roman"/>
          <w:sz w:val="24"/>
          <w:szCs w:val="24"/>
          <w:lang w:val="en-US"/>
        </w:rPr>
        <w:t xml:space="preserve"> </w:t>
      </w:r>
      <w:r w:rsidRPr="00703566">
        <w:rPr>
          <w:rFonts w:ascii="Times New Roman" w:hAnsi="Times New Roman" w:cs="Times New Roman"/>
          <w:sz w:val="24"/>
          <w:szCs w:val="24"/>
          <w:lang w:val="en-US"/>
        </w:rPr>
        <w:fldChar w:fldCharType="begin" w:fldLock="1"/>
      </w:r>
      <w:r w:rsidRPr="00703566">
        <w:rPr>
          <w:rFonts w:ascii="Times New Roman" w:hAnsi="Times New Roman" w:cs="Times New Roman"/>
          <w:sz w:val="24"/>
          <w:szCs w:val="24"/>
          <w:lang w:val="en-US"/>
        </w:rPr>
        <w:instrText>ADDIN CSL_CITATION {"citationItems":[{"id":"ITEM-1","itemData":{"DOI":"10.1161/01.CIR.103.17.2153","ISSN":"00097322","PMID":"11331255","abstract":"Background - In congestive heart failure (CHF), the prognostic significance of impaired respiratory muscle strength has not been established. Methods and Results - Maximal inspiratory pressure (Pimax) was prospectively determined in 244 consecutive patients (207 men) with CHF (ischemic, n=75; idiopathic dilated cardiomyopathy, n= 169; age, 54±11 years; left ventricular ejection fraction [LVEF], 22±10%). Pimax was lower in the 244 patients with CHF than in 25 control subjects (7.6±3.3 versus 10.5±3.7 kPa; P=0.001). The 57 patients (23%) who died during follow-up (23±16 months; range, 1 to 48 months) had an even more reduced Pimax (6.3±3.2 versus 8.1±3.2 kPa in survivors; P=0.001). Kaplan-Meier survival curves differentiated between patients subdivided according to quartiles for Pimax (P=0.014). Pimax was a strong risk predictor in both univariate (P=0.001) and multivariate Cox proportional hazard analyses (P=0.03); multivariate analyses also included NYHA functional class, LVEF, peak oxygen consumption (peak Vo2), and norepinephrine plasma concentration. The areas under the receiver-operating characteristic curves for prediction of 1-year survival were comparable for Pimax and peak Vo2 (area under the curve [AUC], 0.68 versus 0.73; P=0.28), and they improved with the triple combination of Pimax, peak Vo2, and LVEF (AUC, 0.82; P=0.004 compared with AUC of Pimax). Conclusions - In patients with CHF, inspiratory muscle strength is reduced and emerges as a novel, independent predictor of prognosis. Because testing for Pimax is simple in clinical practice, it might serve as an additional factor to improve risk stratification and patient selection for cardiac transplantation.","author":[{"dropping-particle":"","family":"Meyer","given":"F. Joachim","non-dropping-particle":"","parse-names":false,"suffix":""},{"dropping-particle":"","family":"Borst","given":"Mathias M.","non-dropping-particle":"","parse-names":false,"suffix":""},{"dropping-particle":"","family":"Zugck","given":"Christian","non-dropping-particle":"","parse-names":false,"suffix":""},{"dropping-particle":"","family":"Kirschke","given":"Andreas","non-dropping-particle":"","parse-names":false,"suffix":""},{"dropping-particle":"","family":"Schellberg","given":"Dieter","non-dropping-particle":"","parse-names":false,"suffix":""},{"dropping-particle":"","family":"Kübler","given":"Wolfgang","non-dropping-particle":"","parse-names":false,"suffix":""},{"dropping-particle":"","family":"Haass","given":"Markus","non-dropping-particle":"","parse-names":false,"suffix":""}],"container-title":"Circulation","id":"ITEM-1","issue":"17","issued":{"date-parts":[["2001","5","1"]]},"page":"2153-2158","publisher":"Lippincott Williams and Wilkins","title":"Respiratory muscle dysfunction in congestive heart failure: Clinical correlation and prognostic significance","type":"article-journal","volume":"103"},"uris":["http://www.mendeley.com/documents/?uuid=dd71eda8-8f3c-39d6-a42f-6a8b0ca9b60a"]}],"mendeley":{"formattedCitation":"(Meyer et al., 2001)","plainTextFormattedCitation":"(Meyer et al., 2001)","previouslyFormattedCitation":"(Meyer et al., 2001)"},"properties":{"noteIndex":0},"schema":"https://github.com/citation-style-language/schema/raw/master/csl-citation.json"}</w:instrText>
      </w:r>
      <w:r w:rsidRPr="00703566">
        <w:rPr>
          <w:rFonts w:ascii="Times New Roman" w:hAnsi="Times New Roman" w:cs="Times New Roman"/>
          <w:sz w:val="24"/>
          <w:szCs w:val="24"/>
          <w:lang w:val="en-US"/>
        </w:rPr>
        <w:fldChar w:fldCharType="separate"/>
      </w:r>
      <w:r w:rsidRPr="00703566">
        <w:rPr>
          <w:rFonts w:ascii="Times New Roman" w:hAnsi="Times New Roman" w:cs="Times New Roman"/>
          <w:noProof/>
          <w:sz w:val="24"/>
          <w:szCs w:val="24"/>
          <w:lang w:val="en-US"/>
        </w:rPr>
        <w:t>(Meyer et al., 2001)</w:t>
      </w:r>
      <w:r w:rsidRPr="00703566">
        <w:rPr>
          <w:rFonts w:ascii="Times New Roman" w:hAnsi="Times New Roman" w:cs="Times New Roman"/>
          <w:sz w:val="24"/>
          <w:szCs w:val="24"/>
          <w:lang w:val="en-US"/>
        </w:rPr>
        <w:fldChar w:fldCharType="end"/>
      </w:r>
      <w:r w:rsidRPr="00703566">
        <w:rPr>
          <w:rFonts w:ascii="Times New Roman" w:hAnsi="Times New Roman" w:cs="Times New Roman"/>
          <w:sz w:val="24"/>
          <w:szCs w:val="24"/>
          <w:lang w:val="en-US"/>
        </w:rPr>
        <w:t>.</w:t>
      </w:r>
    </w:p>
    <w:bookmarkEnd w:id="16"/>
    <w:p w14:paraId="30D78456"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56FCABC3" w14:textId="77777777" w:rsidR="00703566" w:rsidRPr="00703566" w:rsidRDefault="00703566" w:rsidP="00703566">
      <w:pPr>
        <w:numPr>
          <w:ilvl w:val="1"/>
          <w:numId w:val="4"/>
        </w:num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Nutritional Profile of Target Group</w:t>
      </w:r>
    </w:p>
    <w:p w14:paraId="36562D7C"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Nutrition is a major determinant of health in people over 55. Elderly malnutrition is often later diagnosed. For the successful diagnosis and development of comprehensive treatment plans for malnutrition in this population, a thorough nutritional assessment is required.</w:t>
      </w:r>
      <w:r w:rsidRPr="00703566">
        <w:rPr>
          <w:rFonts w:ascii="Times New Roman" w:eastAsia="Calibri" w:hAnsi="Times New Roman" w:cs="Times New Roman"/>
          <w:sz w:val="24"/>
          <w:szCs w:val="24"/>
        </w:rPr>
        <w:t xml:space="preserve"> </w:t>
      </w:r>
      <w:r w:rsidRPr="00703566">
        <w:rPr>
          <w:rFonts w:ascii="Times New Roman" w:hAnsi="Times New Roman" w:cs="Times New Roman"/>
          <w:sz w:val="24"/>
          <w:szCs w:val="24"/>
          <w:lang w:val="en-US"/>
        </w:rPr>
        <w:t xml:space="preserve">health professionals do not readily determine weight loss in the elderly as a morbid symptom of malnutrition because some muscle wasting or weight reduction may be associated with age-related psychological and physiological problems. Weight loss is a frightening clinical sign in the elderly. Weight loss in the elderly, whether voluntary or involuntary, has been linked to increased mortality. In the elderly people, functional, psychological, social, and economic issues, as well as subsequent medical problems, may all contribute to poor nutrition and weight loss. </w:t>
      </w:r>
    </w:p>
    <w:p w14:paraId="231BB921"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p w14:paraId="7999DA9C" w14:textId="77777777" w:rsidR="00703566" w:rsidRPr="00703566" w:rsidRDefault="00703566" w:rsidP="00703566">
      <w:pPr>
        <w:tabs>
          <w:tab w:val="left" w:pos="1527"/>
        </w:tabs>
        <w:spacing w:line="48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ab/>
      </w:r>
      <w:r w:rsidRPr="00703566">
        <w:rPr>
          <w:rFonts w:ascii="Times New Roman" w:hAnsi="Times New Roman" w:cs="Times New Roman"/>
          <w:b/>
          <w:bCs/>
          <w:sz w:val="24"/>
          <w:szCs w:val="24"/>
          <w:lang w:val="en-US"/>
        </w:rPr>
        <w:tab/>
      </w:r>
      <w:r w:rsidRPr="00703566">
        <w:rPr>
          <w:rFonts w:ascii="Times New Roman" w:hAnsi="Times New Roman" w:cs="Times New Roman"/>
          <w:b/>
          <w:bCs/>
          <w:sz w:val="24"/>
          <w:szCs w:val="24"/>
          <w:lang w:val="en-US"/>
        </w:rPr>
        <w:tab/>
      </w:r>
      <w:r w:rsidRPr="00703566">
        <w:rPr>
          <w:rFonts w:ascii="Times New Roman" w:hAnsi="Times New Roman" w:cs="Times New Roman"/>
          <w:b/>
          <w:bCs/>
          <w:sz w:val="24"/>
          <w:szCs w:val="24"/>
          <w:lang w:val="en-US"/>
        </w:rPr>
        <w:tab/>
        <w:t>Table 9</w:t>
      </w:r>
    </w:p>
    <w:p w14:paraId="1E6498A5" w14:textId="77777777" w:rsidR="00703566" w:rsidRPr="00703566" w:rsidRDefault="00703566" w:rsidP="00703566">
      <w:pPr>
        <w:tabs>
          <w:tab w:val="left" w:pos="1527"/>
        </w:tabs>
        <w:spacing w:line="48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4.6.1 Nutritional Assessment During COVID 19</w:t>
      </w:r>
    </w:p>
    <w:p w14:paraId="1440C317"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p>
    <w:tbl>
      <w:tblPr>
        <w:tblStyle w:val="TableGrid2"/>
        <w:tblW w:w="8246" w:type="dxa"/>
        <w:jc w:val="center"/>
        <w:tblLook w:val="04A0" w:firstRow="1" w:lastRow="0" w:firstColumn="1" w:lastColumn="0" w:noHBand="0" w:noVBand="1"/>
      </w:tblPr>
      <w:tblGrid>
        <w:gridCol w:w="1550"/>
        <w:gridCol w:w="1056"/>
        <w:gridCol w:w="1349"/>
        <w:gridCol w:w="830"/>
        <w:gridCol w:w="1349"/>
        <w:gridCol w:w="763"/>
        <w:gridCol w:w="1349"/>
      </w:tblGrid>
      <w:tr w:rsidR="00703566" w:rsidRPr="00703566" w14:paraId="5D2B8CA8" w14:textId="77777777" w:rsidTr="008A6F48">
        <w:trPr>
          <w:trHeight w:val="851"/>
          <w:jc w:val="center"/>
        </w:trPr>
        <w:tc>
          <w:tcPr>
            <w:tcW w:w="1550" w:type="dxa"/>
          </w:tcPr>
          <w:p w14:paraId="13891855"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bookmarkStart w:id="18" w:name="_Hlk68062780"/>
            <w:r w:rsidRPr="00703566">
              <w:rPr>
                <w:rFonts w:ascii="Times New Roman" w:hAnsi="Times New Roman" w:cs="Times New Roman"/>
                <w:b/>
                <w:bCs/>
                <w:sz w:val="24"/>
                <w:szCs w:val="24"/>
                <w:lang w:val="en-US"/>
              </w:rPr>
              <w:t>Nutritional assessment Score</w:t>
            </w:r>
          </w:p>
        </w:tc>
        <w:tc>
          <w:tcPr>
            <w:tcW w:w="1056" w:type="dxa"/>
          </w:tcPr>
          <w:p w14:paraId="0D773997"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Females </w:t>
            </w:r>
          </w:p>
        </w:tc>
        <w:tc>
          <w:tcPr>
            <w:tcW w:w="1349" w:type="dxa"/>
          </w:tcPr>
          <w:p w14:paraId="31E91EFD"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Percentage </w:t>
            </w:r>
          </w:p>
        </w:tc>
        <w:tc>
          <w:tcPr>
            <w:tcW w:w="830" w:type="dxa"/>
          </w:tcPr>
          <w:p w14:paraId="57568E2D"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Males</w:t>
            </w:r>
          </w:p>
        </w:tc>
        <w:tc>
          <w:tcPr>
            <w:tcW w:w="1349" w:type="dxa"/>
          </w:tcPr>
          <w:p w14:paraId="2E992C04"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Percentage</w:t>
            </w:r>
          </w:p>
        </w:tc>
        <w:tc>
          <w:tcPr>
            <w:tcW w:w="763" w:type="dxa"/>
          </w:tcPr>
          <w:p w14:paraId="453A5CDC"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Total   </w:t>
            </w:r>
          </w:p>
        </w:tc>
        <w:tc>
          <w:tcPr>
            <w:tcW w:w="1349" w:type="dxa"/>
          </w:tcPr>
          <w:p w14:paraId="6B0941BB"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Percentage  </w:t>
            </w:r>
          </w:p>
        </w:tc>
      </w:tr>
      <w:tr w:rsidR="00703566" w:rsidRPr="00703566" w14:paraId="4FD6EBCF" w14:textId="77777777" w:rsidTr="008A6F48">
        <w:trPr>
          <w:trHeight w:val="851"/>
          <w:jc w:val="center"/>
        </w:trPr>
        <w:tc>
          <w:tcPr>
            <w:tcW w:w="1550" w:type="dxa"/>
          </w:tcPr>
          <w:p w14:paraId="6ABFEE42"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 xml:space="preserve">Normal </w:t>
            </w:r>
          </w:p>
          <w:p w14:paraId="60244306"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(12- 14)</w:t>
            </w:r>
          </w:p>
        </w:tc>
        <w:tc>
          <w:tcPr>
            <w:tcW w:w="1056" w:type="dxa"/>
          </w:tcPr>
          <w:p w14:paraId="6A2C3058"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5</w:t>
            </w:r>
          </w:p>
        </w:tc>
        <w:tc>
          <w:tcPr>
            <w:tcW w:w="1349" w:type="dxa"/>
          </w:tcPr>
          <w:p w14:paraId="3C4780C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5</w:t>
            </w:r>
          </w:p>
        </w:tc>
        <w:tc>
          <w:tcPr>
            <w:tcW w:w="830" w:type="dxa"/>
          </w:tcPr>
          <w:p w14:paraId="1E241FD9"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12</w:t>
            </w:r>
          </w:p>
        </w:tc>
        <w:tc>
          <w:tcPr>
            <w:tcW w:w="1349" w:type="dxa"/>
          </w:tcPr>
          <w:p w14:paraId="6AE67B3B"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12</w:t>
            </w:r>
          </w:p>
        </w:tc>
        <w:tc>
          <w:tcPr>
            <w:tcW w:w="763" w:type="dxa"/>
          </w:tcPr>
          <w:p w14:paraId="27127781"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17</w:t>
            </w:r>
          </w:p>
        </w:tc>
        <w:tc>
          <w:tcPr>
            <w:tcW w:w="1349" w:type="dxa"/>
          </w:tcPr>
          <w:p w14:paraId="0A7F471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17</w:t>
            </w:r>
          </w:p>
        </w:tc>
      </w:tr>
      <w:tr w:rsidR="00703566" w:rsidRPr="00703566" w14:paraId="1A5D243B" w14:textId="77777777" w:rsidTr="008A6F48">
        <w:trPr>
          <w:trHeight w:val="1271"/>
          <w:jc w:val="center"/>
        </w:trPr>
        <w:tc>
          <w:tcPr>
            <w:tcW w:w="1550" w:type="dxa"/>
          </w:tcPr>
          <w:p w14:paraId="032155B8"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At the risk of malnutrition (8 –11)</w:t>
            </w:r>
          </w:p>
        </w:tc>
        <w:tc>
          <w:tcPr>
            <w:tcW w:w="1056" w:type="dxa"/>
          </w:tcPr>
          <w:p w14:paraId="30E22E7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30</w:t>
            </w:r>
          </w:p>
        </w:tc>
        <w:tc>
          <w:tcPr>
            <w:tcW w:w="1349" w:type="dxa"/>
          </w:tcPr>
          <w:p w14:paraId="701C5A2D"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30</w:t>
            </w:r>
          </w:p>
        </w:tc>
        <w:tc>
          <w:tcPr>
            <w:tcW w:w="830" w:type="dxa"/>
          </w:tcPr>
          <w:p w14:paraId="0ABC58E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25</w:t>
            </w:r>
          </w:p>
        </w:tc>
        <w:tc>
          <w:tcPr>
            <w:tcW w:w="1349" w:type="dxa"/>
          </w:tcPr>
          <w:p w14:paraId="76AA4BD5"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25</w:t>
            </w:r>
          </w:p>
        </w:tc>
        <w:tc>
          <w:tcPr>
            <w:tcW w:w="763" w:type="dxa"/>
          </w:tcPr>
          <w:p w14:paraId="7E2C2F0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55</w:t>
            </w:r>
          </w:p>
        </w:tc>
        <w:tc>
          <w:tcPr>
            <w:tcW w:w="1349" w:type="dxa"/>
          </w:tcPr>
          <w:p w14:paraId="00140053"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55</w:t>
            </w:r>
          </w:p>
        </w:tc>
      </w:tr>
      <w:tr w:rsidR="00703566" w:rsidRPr="00703566" w14:paraId="14EEE706" w14:textId="77777777" w:rsidTr="008A6F48">
        <w:trPr>
          <w:trHeight w:val="851"/>
          <w:jc w:val="center"/>
        </w:trPr>
        <w:tc>
          <w:tcPr>
            <w:tcW w:w="1550" w:type="dxa"/>
          </w:tcPr>
          <w:p w14:paraId="0243A822"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lastRenderedPageBreak/>
              <w:t>Malnourished (0-7)</w:t>
            </w:r>
          </w:p>
        </w:tc>
        <w:tc>
          <w:tcPr>
            <w:tcW w:w="1056" w:type="dxa"/>
          </w:tcPr>
          <w:p w14:paraId="7895C010"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15</w:t>
            </w:r>
          </w:p>
        </w:tc>
        <w:tc>
          <w:tcPr>
            <w:tcW w:w="1349" w:type="dxa"/>
          </w:tcPr>
          <w:p w14:paraId="23F617CD"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15</w:t>
            </w:r>
          </w:p>
        </w:tc>
        <w:tc>
          <w:tcPr>
            <w:tcW w:w="830" w:type="dxa"/>
          </w:tcPr>
          <w:p w14:paraId="32FBE0BA"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13</w:t>
            </w:r>
          </w:p>
        </w:tc>
        <w:tc>
          <w:tcPr>
            <w:tcW w:w="1349" w:type="dxa"/>
          </w:tcPr>
          <w:p w14:paraId="03E8FD77"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13</w:t>
            </w:r>
          </w:p>
        </w:tc>
        <w:tc>
          <w:tcPr>
            <w:tcW w:w="763" w:type="dxa"/>
          </w:tcPr>
          <w:p w14:paraId="1C50730F"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28</w:t>
            </w:r>
          </w:p>
        </w:tc>
        <w:tc>
          <w:tcPr>
            <w:tcW w:w="1349" w:type="dxa"/>
          </w:tcPr>
          <w:p w14:paraId="555ABC19" w14:textId="77777777" w:rsidR="00703566" w:rsidRPr="00703566" w:rsidRDefault="00703566" w:rsidP="00703566">
            <w:pPr>
              <w:tabs>
                <w:tab w:val="left" w:pos="1527"/>
              </w:tabs>
              <w:spacing w:line="360" w:lineRule="auto"/>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28</w:t>
            </w:r>
          </w:p>
        </w:tc>
      </w:tr>
      <w:tr w:rsidR="00703566" w:rsidRPr="00703566" w14:paraId="00F14F64" w14:textId="77777777" w:rsidTr="008A6F48">
        <w:trPr>
          <w:trHeight w:val="419"/>
          <w:jc w:val="center"/>
        </w:trPr>
        <w:tc>
          <w:tcPr>
            <w:tcW w:w="1550" w:type="dxa"/>
          </w:tcPr>
          <w:p w14:paraId="2C217FC9"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 xml:space="preserve">Total </w:t>
            </w:r>
          </w:p>
        </w:tc>
        <w:tc>
          <w:tcPr>
            <w:tcW w:w="1056" w:type="dxa"/>
          </w:tcPr>
          <w:p w14:paraId="1C301B1D"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50</w:t>
            </w:r>
          </w:p>
        </w:tc>
        <w:tc>
          <w:tcPr>
            <w:tcW w:w="1349" w:type="dxa"/>
          </w:tcPr>
          <w:p w14:paraId="7C8CD9E2"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p>
        </w:tc>
        <w:tc>
          <w:tcPr>
            <w:tcW w:w="830" w:type="dxa"/>
          </w:tcPr>
          <w:p w14:paraId="428FB5B4"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50</w:t>
            </w:r>
          </w:p>
        </w:tc>
        <w:tc>
          <w:tcPr>
            <w:tcW w:w="1349" w:type="dxa"/>
          </w:tcPr>
          <w:p w14:paraId="1E3A84F2"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p>
        </w:tc>
        <w:tc>
          <w:tcPr>
            <w:tcW w:w="763" w:type="dxa"/>
          </w:tcPr>
          <w:p w14:paraId="460B077D"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100</w:t>
            </w:r>
          </w:p>
        </w:tc>
        <w:tc>
          <w:tcPr>
            <w:tcW w:w="1349" w:type="dxa"/>
          </w:tcPr>
          <w:p w14:paraId="302B1C81" w14:textId="77777777" w:rsidR="00703566" w:rsidRPr="00703566" w:rsidRDefault="00703566" w:rsidP="00703566">
            <w:pPr>
              <w:tabs>
                <w:tab w:val="left" w:pos="1527"/>
              </w:tabs>
              <w:spacing w:line="360" w:lineRule="auto"/>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100</w:t>
            </w:r>
          </w:p>
        </w:tc>
      </w:tr>
    </w:tbl>
    <w:bookmarkEnd w:id="18"/>
    <w:p w14:paraId="447F7097" w14:textId="77777777" w:rsidR="00703566" w:rsidRPr="00703566" w:rsidRDefault="00703566" w:rsidP="00703566">
      <w:pPr>
        <w:tabs>
          <w:tab w:val="left" w:pos="1527"/>
        </w:tabs>
        <w:spacing w:line="480" w:lineRule="auto"/>
        <w:contextualSpacing/>
        <w:jc w:val="both"/>
        <w:rPr>
          <w:rFonts w:ascii="Times New Roman" w:hAnsi="Times New Roman" w:cs="Times New Roman"/>
          <w:b/>
          <w:bCs/>
          <w:sz w:val="24"/>
          <w:szCs w:val="24"/>
          <w:lang w:val="en-US"/>
        </w:rPr>
      </w:pPr>
      <w:r w:rsidRPr="00703566">
        <w:rPr>
          <w:rFonts w:ascii="Times New Roman" w:hAnsi="Times New Roman" w:cs="Times New Roman"/>
          <w:b/>
          <w:bCs/>
          <w:sz w:val="24"/>
          <w:szCs w:val="24"/>
          <w:lang w:val="en-US"/>
        </w:rPr>
        <w:t>(MNA Score*)</w:t>
      </w:r>
    </w:p>
    <w:p w14:paraId="680F32B6"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 xml:space="preserve">Malnutrition is a possible risk factor for older adults. Many factors affect nutritional status, including neuropsychological issues, and mobility, and it may be linked to other medical issues. It is highly difficult to test nutritional status of elders. The inadequacies of current screening tools exacerbate the issue. MNA tool is used to evaluate the nutritional status of geriatric population </w:t>
      </w:r>
      <w:r w:rsidRPr="00703566">
        <w:rPr>
          <w:rFonts w:ascii="Times New Roman" w:hAnsi="Times New Roman" w:cs="Times New Roman"/>
          <w:sz w:val="24"/>
          <w:szCs w:val="24"/>
          <w:lang w:val="en-US"/>
        </w:rPr>
        <w:fldChar w:fldCharType="begin" w:fldLock="1"/>
      </w:r>
      <w:r w:rsidRPr="00703566">
        <w:rPr>
          <w:rFonts w:ascii="Times New Roman" w:hAnsi="Times New Roman" w:cs="Times New Roman"/>
          <w:sz w:val="24"/>
          <w:szCs w:val="24"/>
          <w:lang w:val="en-US"/>
        </w:rPr>
        <w:instrText>ADDIN CSL_CITATION {"citationItems":[{"id":"ITEM-1","itemData":{"DOI":"10.1038/sj.ejcn.1601748","abstract":"Objective: To assess the risk of malnutrition among elderly people living at home and receiving regular home-care services using the Mini-Nutritional Assessment (MNA) and to study the characteristics of the instrument in this patient group. Design: A cross-sectional study using the MNA score to assess the nutritional status of elderly home-care patients. Setting: Municipal home-care services in rural Finland. Subjects: A total of 178 (65%) out of 272 eligible patients aged 75-94 y agreed to participate. Major outcome methods: MNA questionnaire, anthropometrics, structured questionnaire, menu record. Results: According to MNA, 3% were malnourished (MNA o 17 points), 48% at risk for malnutrition (17-23.5 points) and 49% well nourished (423.5 points). The mean MNA score was 23.4. Weight loss, psychological stress, nutritional status, decline in food intake, self-perceived health status and mid-arm circumference (MAC) showed the strongest significant correlations (P ¼ 0.0001) to total MNA score. MNA questions with the strongest significant intercorrelations (P ¼ 0.0001) were body mass index with MAC and calf circumference; and the decline of food intake and self-perceived nutritional status. The number of eating problems correlated significantly to the MNA score (P ¼ 0.0011). Those with chewing and swallowing problems (n ¼ 64, 36%) had a significantly lower MNA score than others (P ¼ 0.0001). Dry mouth together with chewing and swallowing problems (n ¼ 40, 22%) reduced the MNA score even further (P ¼ 0.0001). Conclusions: The results suggest that MNA is a useful tool in the identification of elderly home-care patients at risk for malnutrition.","author":[{"dropping-particle":"","family":"Soini","given":"H","non-dropping-particle":"","parse-names":false,"suffix":""},{"dropping-particle":"","family":"Routasalo","given":"P","non-dropping-particle":"","parse-names":false,"suffix":""},{"dropping-particle":"","family":"Lagström","given":"H","non-dropping-particle":"","parse-names":false,"suffix":""}],"container-title":"European Journal of Clinical Nutrition","id":"ITEM-1","issued":{"date-parts":[["2004"]]},"page":"64-70","title":"Characteristics of the Mini-Nutritional Assessment in elderly home-care patients","type":"article-journal","volume":"58"},"uris":["http://www.mendeley.com/documents/?uuid=dbaa212b-49c8-315d-a370-ed4d52c965d9"]}],"mendeley":{"formattedCitation":"(Soini et al., 2004)","plainTextFormattedCitation":"(Soini et al., 2004)","previouslyFormattedCitation":"(Soini et al., 2004)"},"properties":{"noteIndex":0},"schema":"https://github.com/citation-style-language/schema/raw/master/csl-citation.json"}</w:instrText>
      </w:r>
      <w:r w:rsidRPr="00703566">
        <w:rPr>
          <w:rFonts w:ascii="Times New Roman" w:hAnsi="Times New Roman" w:cs="Times New Roman"/>
          <w:sz w:val="24"/>
          <w:szCs w:val="24"/>
          <w:lang w:val="en-US"/>
        </w:rPr>
        <w:fldChar w:fldCharType="separate"/>
      </w:r>
      <w:r w:rsidRPr="00703566">
        <w:rPr>
          <w:rFonts w:ascii="Times New Roman" w:hAnsi="Times New Roman" w:cs="Times New Roman"/>
          <w:noProof/>
          <w:sz w:val="24"/>
          <w:szCs w:val="24"/>
          <w:lang w:val="en-US"/>
        </w:rPr>
        <w:t>(Soini et al., 2004)</w:t>
      </w:r>
      <w:r w:rsidRPr="00703566">
        <w:rPr>
          <w:rFonts w:ascii="Times New Roman" w:hAnsi="Times New Roman" w:cs="Times New Roman"/>
          <w:sz w:val="24"/>
          <w:szCs w:val="24"/>
          <w:lang w:val="en-US"/>
        </w:rPr>
        <w:fldChar w:fldCharType="end"/>
      </w:r>
      <w:r w:rsidRPr="00703566">
        <w:rPr>
          <w:rFonts w:ascii="Times New Roman" w:hAnsi="Times New Roman" w:cs="Times New Roman"/>
          <w:sz w:val="24"/>
          <w:szCs w:val="24"/>
          <w:lang w:val="en-US"/>
        </w:rPr>
        <w:t>.</w:t>
      </w:r>
    </w:p>
    <w:p w14:paraId="2A195DF7" w14:textId="77777777" w:rsidR="00703566" w:rsidRPr="00703566" w:rsidRDefault="00703566" w:rsidP="00703566">
      <w:pPr>
        <w:tabs>
          <w:tab w:val="left" w:pos="1527"/>
        </w:tabs>
        <w:spacing w:line="480" w:lineRule="auto"/>
        <w:contextualSpacing/>
        <w:jc w:val="both"/>
        <w:rPr>
          <w:rFonts w:ascii="Times New Roman" w:hAnsi="Times New Roman" w:cs="Times New Roman"/>
          <w:sz w:val="24"/>
          <w:szCs w:val="24"/>
          <w:lang w:val="en-US"/>
        </w:rPr>
      </w:pPr>
      <w:r w:rsidRPr="00703566">
        <w:rPr>
          <w:rFonts w:ascii="Times New Roman" w:hAnsi="Times New Roman" w:cs="Times New Roman"/>
          <w:sz w:val="24"/>
          <w:szCs w:val="24"/>
          <w:lang w:val="en-US"/>
        </w:rPr>
        <w:t xml:space="preserve">According to </w:t>
      </w:r>
      <w:r w:rsidRPr="00703566">
        <w:rPr>
          <w:rFonts w:ascii="Times New Roman" w:hAnsi="Times New Roman" w:cs="Times New Roman"/>
          <w:b/>
          <w:bCs/>
          <w:sz w:val="24"/>
          <w:szCs w:val="24"/>
          <w:lang w:val="en-US"/>
        </w:rPr>
        <w:t>Table 9</w:t>
      </w:r>
      <w:r w:rsidRPr="00703566">
        <w:rPr>
          <w:rFonts w:ascii="Times New Roman" w:hAnsi="Times New Roman" w:cs="Times New Roman"/>
          <w:sz w:val="24"/>
          <w:szCs w:val="24"/>
          <w:lang w:val="en-US"/>
        </w:rPr>
        <w:t>, nutritional state of target group reveals that 17% of the samples are normal, which includes 5 females and 12 males and 55% of the samples are at the risk of malnutrition. Majority of the selected samples are at the risk of malnutrition and 28% of the samples are malnourished.</w:t>
      </w:r>
    </w:p>
    <w:p w14:paraId="2A368B26"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Malnutrition is considered as a dietary disorder that disrupted normal human functioning which is more prevalent in elderly patients. Malnutrition was more common in COVID-19-positive elderly patients with the following reasons. In elderly patients with COVID-19, high rates of comorbid diabetes mellitus led to higher rates of malnutrition. Diabetic patients had problems with the metabolism of the three main nutrients as a result of their own internal glandular dysfunction, which was the internal cause of malnutrition. At the same time, external causes of malnutrition include diabetic patients' poor dietary control, an incorrect nutrient ratio, and other factors. SARS-CoV-2 induce gastrointestinal symptoms, which worsen malnutrition in elderly patients. In addition to respiratory symptoms, gastrointestinal symptoms were the most common in elderly COVID-19 patients. Diarrhoea, mild abdominal pain, nausea, vomiting,  loss of appetite, and other symptoms were common, that contribute to poor nutritional status in elderly COVID 19 patients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{"citationItems":[{"id":"ITEM-1","itemData":{"DOI":"10.1038/s41430-020-0642-3","abstract":"Background/objectives To evaluate the prevalence of malnutrition and its related factors in elderly patients with COVID-19 in Wuhan, China. Subjects/methods In a cross-sectional study, we evaluated the nutritional status of elderly inpatients with COVID-19 using the Mini Nutritional Assessment (MNA). Based on MNA scores, patients were divided into non-malnutrition group (MNA ≥ 24), the group with risk of malnutrition (MNA 17-23.5) and malnutrition group (MNA score &lt; 17). Regression analysis was conducted to screen for risk factors for malnutrition. Results A total of 182 patients were included in the study, of which 27.5% were in the group with malnutrition risk and 52.7% were in the malnutrition group. There were statistical differences in the incidence of comorbid diabetes mellitus, body mass index (BMI), calf circumference,albumin, hemoglobin, and lymphocyte counts among the three groups. Further regression analysis suggested that combined diabetes, low calf circumference, and low albumin were independent risk factors for malnutrition. Conclusions The prevalence of malnutrition in elderly patients with COVID-19 was high, and nutritional support should be strengthened during treatment, especially for those with diabetes mellitus, low calf circumference, or low albumin.","author":[{"dropping-particle":"","family":"Li","given":"Tao","non-dropping-particle":"","parse-names":false,"suffix":""},{"dropping-particle":"","family":"Zhang","given":"Yalan","non-dropping-particle":"","parse-names":false,"suffix":""},{"dropping-particle":"","family":"Gong","given":"Cheng","non-dropping-particle":"","parse-names":false,"suffix":""},{"dropping-particle":"","family":"Wang","given":"Jing","non-dropping-particle":"","parse-names":false,"suffix":""},{"dropping-particle":"","family":"Liu","given":"Bao","non-dropping-particle":"","parse-names":false,"suffix":""},{"dropping-particle":"","family":"Shi","given":"Li","non-dropping-particle":"","parse-names":false,"suffix":""},{"dropping-particle":"","family":"Duan","given":"Jun","non-dropping-particle":"","parse-names":false,"suffix":""}],"container-title":"European Journal of Clinical Nutrition","id":"ITEM-1","issued":{"date-parts":[["2020"]]},"page":"871-875","title":"Prevalence of malnutrition and analysis of related factors in elderly patients with COVID-19 in Wuhan, China","type":"article-journal","volume":"74"},"uris":["http://www.mendeley.com/documents/?uuid=d5774bbd-5104-39a1-9fda-6f22c0f9dac3"]}],"mendeley":{"formattedCitation":"(Li et al., 2020)","plainTextFormattedCitation":"(Li et al., 2020)","previouslyFormattedCitation":"(Li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(Li et al.,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0984F00C"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
    <w:p w14:paraId="4BF9BB86" w14:textId="77777777" w:rsidR="00703566" w:rsidRPr="00703566" w:rsidRDefault="00703566" w:rsidP="00703566">
      <w:pPr>
        <w:spacing w:line="480" w:lineRule="auto"/>
        <w:ind w:left="1440" w:firstLine="720"/>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lastRenderedPageBreak/>
        <w:t xml:space="preserve">            Table 10</w:t>
      </w:r>
    </w:p>
    <w:p w14:paraId="469BE23D"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4.6.2 Nutritional Assessment of Target Group After COVID -19 Infection</w:t>
      </w:r>
    </w:p>
    <w:tbl>
      <w:tblPr>
        <w:tblStyle w:val="TableGrid2"/>
        <w:tblW w:w="0" w:type="auto"/>
        <w:jc w:val="center"/>
        <w:tblLook w:val="04A0" w:firstRow="1" w:lastRow="0" w:firstColumn="1" w:lastColumn="0" w:noHBand="0" w:noVBand="1"/>
      </w:tblPr>
      <w:tblGrid>
        <w:gridCol w:w="1703"/>
        <w:gridCol w:w="1612"/>
        <w:gridCol w:w="1561"/>
        <w:gridCol w:w="1567"/>
        <w:gridCol w:w="1698"/>
      </w:tblGrid>
      <w:tr w:rsidR="00703566" w:rsidRPr="00703566" w14:paraId="113C03F8" w14:textId="77777777" w:rsidTr="008A6F48">
        <w:trPr>
          <w:jc w:val="center"/>
        </w:trPr>
        <w:tc>
          <w:tcPr>
            <w:tcW w:w="1703" w:type="dxa"/>
          </w:tcPr>
          <w:p w14:paraId="654320D7"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Nutritional assessment </w:t>
            </w:r>
          </w:p>
        </w:tc>
        <w:tc>
          <w:tcPr>
            <w:tcW w:w="1612" w:type="dxa"/>
          </w:tcPr>
          <w:p w14:paraId="5B4FBA69"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Females </w:t>
            </w:r>
          </w:p>
        </w:tc>
        <w:tc>
          <w:tcPr>
            <w:tcW w:w="1561" w:type="dxa"/>
          </w:tcPr>
          <w:p w14:paraId="1CAF33F9"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Males </w:t>
            </w:r>
          </w:p>
        </w:tc>
        <w:tc>
          <w:tcPr>
            <w:tcW w:w="1567" w:type="dxa"/>
          </w:tcPr>
          <w:p w14:paraId="0869AB88"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Total </w:t>
            </w:r>
          </w:p>
        </w:tc>
        <w:tc>
          <w:tcPr>
            <w:tcW w:w="1698" w:type="dxa"/>
          </w:tcPr>
          <w:p w14:paraId="58E62C3D"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Percentage</w:t>
            </w:r>
          </w:p>
        </w:tc>
      </w:tr>
      <w:tr w:rsidR="00703566" w:rsidRPr="00703566" w14:paraId="4872D662" w14:textId="77777777" w:rsidTr="008A6F48">
        <w:trPr>
          <w:jc w:val="center"/>
        </w:trPr>
        <w:tc>
          <w:tcPr>
            <w:tcW w:w="1703" w:type="dxa"/>
          </w:tcPr>
          <w:p w14:paraId="4670F27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Normal </w:t>
            </w:r>
          </w:p>
          <w:p w14:paraId="7612DA5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*(12-14)</w:t>
            </w:r>
          </w:p>
        </w:tc>
        <w:tc>
          <w:tcPr>
            <w:tcW w:w="1612" w:type="dxa"/>
          </w:tcPr>
          <w:p w14:paraId="4C4EC89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8</w:t>
            </w:r>
          </w:p>
        </w:tc>
        <w:tc>
          <w:tcPr>
            <w:tcW w:w="1561" w:type="dxa"/>
          </w:tcPr>
          <w:p w14:paraId="05714CD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28</w:t>
            </w:r>
          </w:p>
        </w:tc>
        <w:tc>
          <w:tcPr>
            <w:tcW w:w="1567" w:type="dxa"/>
          </w:tcPr>
          <w:p w14:paraId="669E096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36</w:t>
            </w:r>
          </w:p>
        </w:tc>
        <w:tc>
          <w:tcPr>
            <w:tcW w:w="1698" w:type="dxa"/>
          </w:tcPr>
          <w:p w14:paraId="57DCB0A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36</w:t>
            </w:r>
          </w:p>
        </w:tc>
      </w:tr>
      <w:tr w:rsidR="00703566" w:rsidRPr="00703566" w14:paraId="40A03451" w14:textId="77777777" w:rsidTr="008A6F48">
        <w:trPr>
          <w:jc w:val="center"/>
        </w:trPr>
        <w:tc>
          <w:tcPr>
            <w:tcW w:w="1703" w:type="dxa"/>
          </w:tcPr>
          <w:p w14:paraId="789738E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At the risk of malnutrition</w:t>
            </w:r>
          </w:p>
          <w:p w14:paraId="5C6EE4C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*(8-11)</w:t>
            </w:r>
          </w:p>
        </w:tc>
        <w:tc>
          <w:tcPr>
            <w:tcW w:w="1612" w:type="dxa"/>
          </w:tcPr>
          <w:p w14:paraId="254CD2C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15</w:t>
            </w:r>
          </w:p>
        </w:tc>
        <w:tc>
          <w:tcPr>
            <w:tcW w:w="1561" w:type="dxa"/>
          </w:tcPr>
          <w:p w14:paraId="0F40217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8</w:t>
            </w:r>
          </w:p>
        </w:tc>
        <w:tc>
          <w:tcPr>
            <w:tcW w:w="1567" w:type="dxa"/>
          </w:tcPr>
          <w:p w14:paraId="2A50E35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23</w:t>
            </w:r>
          </w:p>
        </w:tc>
        <w:tc>
          <w:tcPr>
            <w:tcW w:w="1698" w:type="dxa"/>
          </w:tcPr>
          <w:p w14:paraId="7C2F60C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23</w:t>
            </w:r>
          </w:p>
        </w:tc>
      </w:tr>
      <w:tr w:rsidR="00703566" w:rsidRPr="00703566" w14:paraId="7E40DA6F" w14:textId="77777777" w:rsidTr="008A6F48">
        <w:trPr>
          <w:jc w:val="center"/>
        </w:trPr>
        <w:tc>
          <w:tcPr>
            <w:tcW w:w="1703" w:type="dxa"/>
          </w:tcPr>
          <w:p w14:paraId="5D03DDA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Malnourished </w:t>
            </w:r>
          </w:p>
          <w:p w14:paraId="785BC59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*(0-7)</w:t>
            </w:r>
          </w:p>
        </w:tc>
        <w:tc>
          <w:tcPr>
            <w:tcW w:w="1612" w:type="dxa"/>
          </w:tcPr>
          <w:p w14:paraId="73B7C48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27</w:t>
            </w:r>
          </w:p>
        </w:tc>
        <w:tc>
          <w:tcPr>
            <w:tcW w:w="1561" w:type="dxa"/>
          </w:tcPr>
          <w:p w14:paraId="6BFAB84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14</w:t>
            </w:r>
          </w:p>
        </w:tc>
        <w:tc>
          <w:tcPr>
            <w:tcW w:w="1567" w:type="dxa"/>
          </w:tcPr>
          <w:p w14:paraId="0C7C117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41</w:t>
            </w:r>
          </w:p>
        </w:tc>
        <w:tc>
          <w:tcPr>
            <w:tcW w:w="1698" w:type="dxa"/>
          </w:tcPr>
          <w:p w14:paraId="0EB62F4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41</w:t>
            </w:r>
          </w:p>
        </w:tc>
      </w:tr>
      <w:tr w:rsidR="00703566" w:rsidRPr="00703566" w14:paraId="4CFEC3CA" w14:textId="77777777" w:rsidTr="008A6F48">
        <w:trPr>
          <w:trHeight w:val="129"/>
          <w:jc w:val="center"/>
        </w:trPr>
        <w:tc>
          <w:tcPr>
            <w:tcW w:w="1703" w:type="dxa"/>
          </w:tcPr>
          <w:p w14:paraId="1908C924"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Total </w:t>
            </w:r>
          </w:p>
        </w:tc>
        <w:tc>
          <w:tcPr>
            <w:tcW w:w="1612" w:type="dxa"/>
          </w:tcPr>
          <w:p w14:paraId="01192474"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561" w:type="dxa"/>
          </w:tcPr>
          <w:p w14:paraId="3C98165C"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567" w:type="dxa"/>
          </w:tcPr>
          <w:p w14:paraId="319EA54F"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100</w:t>
            </w:r>
          </w:p>
        </w:tc>
        <w:tc>
          <w:tcPr>
            <w:tcW w:w="1698" w:type="dxa"/>
          </w:tcPr>
          <w:p w14:paraId="2E389D7E"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100</w:t>
            </w:r>
          </w:p>
        </w:tc>
      </w:tr>
    </w:tbl>
    <w:p w14:paraId="64A9EE21" w14:textId="77777777" w:rsidR="00703566" w:rsidRPr="00703566" w:rsidRDefault="00703566" w:rsidP="00703566">
      <w:pPr>
        <w:spacing w:line="480" w:lineRule="auto"/>
        <w:jc w:val="both"/>
        <w:rPr>
          <w:rFonts w:ascii="Times New Roman" w:eastAsia="Calibri" w:hAnsi="Times New Roman" w:cs="Times New Roman"/>
          <w:b/>
          <w:bCs/>
          <w:sz w:val="24"/>
          <w:szCs w:val="24"/>
        </w:rPr>
      </w:pPr>
    </w:p>
    <w:p w14:paraId="66214858" w14:textId="77777777" w:rsidR="00703566" w:rsidRPr="00703566" w:rsidRDefault="00703566" w:rsidP="00703566">
      <w:pPr>
        <w:spacing w:line="480" w:lineRule="auto"/>
        <w:jc w:val="both"/>
        <w:rPr>
          <w:rFonts w:ascii="Times New Roman" w:eastAsia="Calibri" w:hAnsi="Times New Roman" w:cs="Times New Roman"/>
          <w:b/>
          <w:bCs/>
          <w:sz w:val="20"/>
          <w:szCs w:val="20"/>
        </w:rPr>
      </w:pPr>
      <w:r w:rsidRPr="00703566">
        <w:rPr>
          <w:rFonts w:ascii="Times New Roman" w:eastAsia="Calibri" w:hAnsi="Times New Roman" w:cs="Times New Roman"/>
          <w:b/>
          <w:bCs/>
          <w:sz w:val="20"/>
          <w:szCs w:val="20"/>
        </w:rPr>
        <w:t>t test (nutritional status of the respondents during and after COVID-19), p value=0.5108)   MNA score</w:t>
      </w:r>
      <w:r w:rsidRPr="00703566">
        <w:rPr>
          <w:rFonts w:ascii="Times New Roman" w:eastAsia="Calibri" w:hAnsi="Times New Roman" w:cs="Times New Roman"/>
          <w:sz w:val="20"/>
          <w:szCs w:val="20"/>
        </w:rPr>
        <w:t xml:space="preserve"> </w:t>
      </w:r>
      <w:r w:rsidRPr="00703566">
        <w:rPr>
          <w:rFonts w:ascii="Times New Roman" w:eastAsia="Calibri" w:hAnsi="Times New Roman" w:cs="Times New Roman"/>
          <w:b/>
          <w:bCs/>
          <w:sz w:val="20"/>
          <w:szCs w:val="20"/>
        </w:rPr>
        <w:t>*</w:t>
      </w:r>
    </w:p>
    <w:p w14:paraId="25E14870"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Table 7</w:t>
      </w:r>
      <w:r w:rsidRPr="00703566">
        <w:rPr>
          <w:rFonts w:ascii="Times New Roman" w:eastAsia="Calibri" w:hAnsi="Times New Roman" w:cs="Times New Roman"/>
          <w:sz w:val="24"/>
          <w:szCs w:val="24"/>
        </w:rPr>
        <w:t xml:space="preserve"> shows the nutritional assessment of target group after corona virus infection where 36% of the people are normal, in which 8 are females and 28 are males. 23% of the samples are at the risk of malnutrition (15 females and 8 males) and remaining 41% of the samples belong to malnourished </w:t>
      </w:r>
      <w:bookmarkStart w:id="19" w:name="_Hlk68529109"/>
      <w:r w:rsidRPr="00703566">
        <w:rPr>
          <w:rFonts w:ascii="Times New Roman" w:eastAsia="Calibri" w:hAnsi="Times New Roman" w:cs="Times New Roman"/>
          <w:sz w:val="24"/>
          <w:szCs w:val="24"/>
        </w:rPr>
        <w:t xml:space="preserve">state. When compared nutritional status after COVID 19 and during COVID 19, infection has remarkable transition to malnourished state of selected samples. </w:t>
      </w:r>
    </w:p>
    <w:bookmarkEnd w:id="19"/>
    <w:p w14:paraId="4EA4BCD0"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The study conducted by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{"citationItems":[{"id":"ITEM-1","itemData":{"DOI":"10.1016/j.clnesp.2020.09.613","ISSN":"24054577","abstract":"Rationale: Patients recovering from COVID-19 are at high risk of malnutrition, reduced nutritional intake and decline in muscle mass and strength with many requiring significant rehabilitation. The aim of this service evaluation is to quantify the risk of malnutrition and provide an overview of nutritional status and outcomes with dietetic input on a care of the elderly rehab ward. Methods: Demographics were collected from patient electronic records. Malnutrition risk, handgrip strength and Vitamin D levels were measured along with calculation of nutritional requirements. Results: Of sixteen patients on the rehab wards post COVID-19, 81% (n=13) required dietetic input. [Formula presented] There was an average weight loss of 5.1kg (6.6%) (p=0.64). Eighty one percent had a reduction in their BMI, with 31% moving into a lower BMI category. Measurably reduced and impaired muscle function was evident when handgrip strength was measured. Eighty five percent required oral nutrition support. Additional advice for dysphagia, diabetes and renal disease was provided to 65% of patients. Following dietetic intervention, energy and protein intake improved in all patients. Sixty four percent were either insufficient or deficient in Vitamin D. Conclusion: The data obtained demonstrates the high prevalence of malnutrition in patients on a rehab ward post COVID-19. Furthermore the data highlights the clear need for dietetic intervention in this nutritionally vulnerable group to optimize nutritional status. References: 1. Stam. HJ, Stucki.G, Bickenbach.J. COVID-19 and post intensive care syndrome: A call for action. Journal of Rehabilitation Medicine. 2020; 52 (4) Disclosure of Interest: None declared.","author":[{"dropping-particle":"","family":"Savage","given":"M.","non-dropping-particle":"","parse-names":false,"suffix":""},{"dropping-particle":"","family":"Dooley","given":"L.","non-dropping-particle":"","parse-names":false,"suffix":""},{"dropping-particle":"","family":"Waldron","given":"T.","non-dropping-particle":"","parse-names":false,"suffix":""},{"dropping-particle":"","family":"Brady","given":"S.","non-dropping-particle":"","parse-names":false,"suffix":""},{"dropping-particle":"","family":"Mellett","given":"H.","non-dropping-particle":"","parse-names":false,"suffix":""}],"container-title":"Clinical Nutrition ESPEN","id":"ITEM-1","issued":{"date-parts":[["2020","12","1"]]},"page":"610-611","publisher":"Elsevier BV","title":"Malnutrition risk post COVID-19 infection on a care of the elderly rehab ward","type":"article-journal","volume":"40"},"uris":["http://www.mendeley.com/documents/?uuid=95cda6ba-ec84-3a5f-aa2b-0835c29a3296"]}],"mendeley":{"formattedCitation":"(Savage et al., 2020)","plainTextFormattedCitation":"(Savage et al., 2020)","previouslyFormattedCitation":"(Savage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(Savage et al.,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 demonstrates the high prevalence of malnutrition in survivor of  COVID 19 geriatric patients and also reveals that dietetic intervention in  nutritionally vulnerable geriatric people optimize nutritional status.</w:t>
      </w:r>
    </w:p>
    <w:p w14:paraId="20EC6662"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Psychological and physiological changes are commonly associated with aging, such as loss of appetite, limited ability to chew or swallow, use of medicines, treatments and functional and cognitive impairment, can adversely affect diet and nutrition. Geriatric people are also at risk of malnourished  state due to chronic diseases, disease, injury, and social isolation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 xml:space="preserve">ADDIN CSL_CITATION {"citationItems":[{"id":"ITEM-1","itemData":{"DOI":"10.3760/cma.j.cn112148-20200220-00105","ISSN":"02533758","PMID":"32120458","abstract":"Objective: To explore the clinical characteristics and prognosis of the new coronavirus 2019-nCoV patients combined with cardiovascular disease </w:instrText>
      </w:r>
      <w:r w:rsidRPr="00703566">
        <w:rPr>
          <w:rFonts w:ascii="Times New Roman" w:eastAsia="MS Gothic" w:hAnsi="Times New Roman" w:cs="Times New Roman"/>
          <w:sz w:val="24"/>
          <w:szCs w:val="24"/>
        </w:rPr>
        <w:instrText>（</w:instrText>
      </w:r>
      <w:r w:rsidRPr="00703566">
        <w:rPr>
          <w:rFonts w:ascii="Times New Roman" w:eastAsia="Calibri" w:hAnsi="Times New Roman" w:cs="Times New Roman"/>
          <w:sz w:val="24"/>
          <w:szCs w:val="24"/>
        </w:rPr>
        <w:instrText>CVD). Methods: A retrospective analysis was performed on 112 COVID-19 patients with CVD admitted to the western district of Union Hospital in Wuhan, from January 20, 2020 to February 15, 2020. They were divided into critical group (ICU, n=16) and general group (n=96) according to the severity of the disease and patients were followed up to the clinical endpoint. The observation indicators included total blood count, C-reactive protein (CRP), arterial blood gas analysis, myocardial injury markers, coagulation function, liver and kidney function, electrolyte, procalcitonin (PCT), B-type natriuretic peptide (BNP), blood lipid, pulmonary CT and pathogen detection. Results: Compared with the general group, the lymphocyte count (0.74 (0.34, 0.94)×109/L vs. 0.99 (0.71, 1.29)×109/L, P=0.03) was extremely lower in the critical group, CRP (106.98 (81.57, 135.76) mg/L vs. 34.34 (9.55,76.54) mg/L, P&lt;0.001) and PCT (0.20 (0.15,0.48) μg/L vs. 0.11 (0.06,0.20) μg/L, P&lt;0.001) were significantly higher in the critical group. The BMI of the critical group was significantly higher than that of the general group (25.5 (23.0, 27.5) kg/m2 vs. 22.0 (20.0, 24.0) kg/m2</w:instrText>
      </w:r>
      <w:r w:rsidRPr="00703566">
        <w:rPr>
          <w:rFonts w:ascii="Times New Roman" w:eastAsia="MS Gothic" w:hAnsi="Times New Roman" w:cs="Times New Roman"/>
          <w:sz w:val="24"/>
          <w:szCs w:val="24"/>
        </w:rPr>
        <w:instrText>，</w:instrText>
      </w:r>
      <w:r w:rsidRPr="00703566">
        <w:rPr>
          <w:rFonts w:ascii="Times New Roman" w:eastAsia="Calibri" w:hAnsi="Times New Roman" w:cs="Times New Roman"/>
          <w:sz w:val="24"/>
          <w:szCs w:val="24"/>
        </w:rPr>
        <w:instrText xml:space="preserve">P=0.003). Patients were further divided into non-survivor group (17, 15.18%) group and survivor group (95, 84.82%). Among the non-survivors, there were 88.24% (15/17) patients with BMI&gt; 25.0 kg/m2, which was significantly higher than that of survivors (18.95% (18/95), P&lt;0.001). Compared with the survived patients, oxygenation index (130 (102, 415) vs. 434 (410, 444), P&lt;0.001) was significantly lower and lactic acid (1.70 (1.30, 3.00) mmol/L vs. 1.20 (1.10, 1.60) mmol/L, P&lt;0.001) was significantly higher in the non-survivors. There was no significant difference in the proportion of ACEI/ARB medication between the critical group and the general group or between non-survivors and survivors </w:instrText>
      </w:r>
      <w:r w:rsidRPr="00703566">
        <w:rPr>
          <w:rFonts w:ascii="Times New Roman" w:eastAsia="MS Gothic" w:hAnsi="Times New Roman" w:cs="Times New Roman"/>
          <w:sz w:val="24"/>
          <w:szCs w:val="24"/>
        </w:rPr>
        <w:instrText>（</w:instrText>
      </w:r>
      <w:r w:rsidRPr="00703566">
        <w:rPr>
          <w:rFonts w:ascii="Times New Roman" w:eastAsia="Calibri" w:hAnsi="Times New Roman" w:cs="Times New Roman"/>
          <w:sz w:val="24"/>
          <w:szCs w:val="24"/>
        </w:rPr>
        <w:instrText>all P&gt;0.05). Conclusion: COVID-19 patients combined with CVD are associated with a higher risk of mortality. Critical patients are characterized with lower lymphocyte counts. Higher BMI are more often seen in critical patients and non-survivor. ACEI/ARB use does not affect the morbidity and mortality of COVID-19 combined with CVD. Aggravating causes of death include fulminant inflammation, lactic acid accumulation and thrombotic events.","author":[{"dropping-particle":"","family":"Peng","given":"Y. D.","non-dropping-particle":"","parse-names":false,"suffix":""},{"dropping-particle":"","family":"Meng","given":"K.","non-dropping-particle":"","parse-names":false,"suffix":""},{"dropping-particle":"","family":"Guan","given":"H. Q.","non-dropping-particle":"","parse-names":false,"suffix":""},{"dropping-particle":"","family":"Leng","given":"L.","non-dropping-particle":"","parse-names":false,"suffix":""},{"dropping-particle":"","family":"Zhu","given":"R. R.","non-dropping-particle":"","parse-names":false,"suffix":""},{"dropping-particle":"","family":"Wang","given":"B. Y.","non-dropping-particle":"","parse-names":false,"suffix":""},{"dropping-particle":"","family":"He","given":"M. A.","non-dropping-particle":"","parse-names":false,"suffix":""},{"dropping-particle":"","family":"Cheng","given":"L. X.","non-dropping-particle":"","parse-names":false,"suffix":""},{"dropping-particle":"","family":"Huang","given":"K.","non-dropping-particle":"","parse-names":false,"suffix":""},{"dropping-particle":"","family":"Zeng","given":"Q. T.","non-dropping-particle":"","parse-names":false,"suffix":""}],"container-title":"Zhonghua xin xue guan bing za zhi","id":"ITEM-1","issue":"6","issued":{"date-parts":[["2020","6","24"]]},"page":"450-455","publisher":"NLM (Medline)","title":"Clinical characteristics and outcomes of 112 cardiovascular disease patients infected by 2019-nCoV","type":"article-journal","volume":"48"},"uris":["http://www.mendeley.com/documents/?uuid=3885be5d-44f2-39a7-bf50-94644ab5a228"]}],"mendeley":{"formattedCitation":"(Peng et al., 2020)","plainTextFormattedCitation":"(Peng et al., 2020)","previouslyFormattedCitation":"(Peng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 xml:space="preserve">(Peng et al., </w:t>
      </w:r>
      <w:r w:rsidRPr="00703566">
        <w:rPr>
          <w:rFonts w:ascii="Times New Roman" w:eastAsia="Calibri" w:hAnsi="Times New Roman" w:cs="Times New Roman"/>
          <w:noProof/>
          <w:sz w:val="24"/>
          <w:szCs w:val="24"/>
        </w:rPr>
        <w:lastRenderedPageBreak/>
        <w:t>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.To compare the nutritional status of patients during and after Covid 19, non- parametric t test(paired) were used. V = 370, p-value = 0.5108, its concluded that there is not so much change in the nutritional status of patients after Covid 19.</w:t>
      </w:r>
    </w:p>
    <w:p w14:paraId="282089E1" w14:textId="77777777" w:rsidR="00703566" w:rsidRPr="00703566" w:rsidRDefault="00703566" w:rsidP="00703566">
      <w:pPr>
        <w:spacing w:line="480" w:lineRule="auto"/>
        <w:ind w:left="1440" w:firstLine="720"/>
        <w:jc w:val="both"/>
        <w:rPr>
          <w:rFonts w:ascii="Times New Roman" w:eastAsia="Calibri" w:hAnsi="Times New Roman" w:cs="Times New Roman"/>
          <w:sz w:val="24"/>
          <w:szCs w:val="24"/>
          <w:lang w:val="en-US"/>
        </w:rPr>
      </w:pPr>
      <w:r w:rsidRPr="00703566">
        <w:rPr>
          <w:rFonts w:ascii="Times New Roman" w:eastAsia="Calibri" w:hAnsi="Times New Roman" w:cs="Times New Roman"/>
          <w:b/>
          <w:bCs/>
          <w:sz w:val="24"/>
          <w:szCs w:val="24"/>
          <w:lang w:val="en-US"/>
        </w:rPr>
        <w:t xml:space="preserve">              Table 11</w:t>
      </w:r>
    </w:p>
    <w:p w14:paraId="03565322"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4.6.3</w:t>
      </w:r>
      <w:r w:rsidRPr="00703566">
        <w:rPr>
          <w:rFonts w:ascii="Times New Roman" w:eastAsia="Calibri" w:hAnsi="Times New Roman" w:cs="Times New Roman"/>
          <w:sz w:val="24"/>
          <w:szCs w:val="24"/>
          <w:lang w:val="en-US"/>
        </w:rPr>
        <w:t xml:space="preserve"> </w:t>
      </w:r>
      <w:r w:rsidRPr="00703566">
        <w:rPr>
          <w:rFonts w:ascii="Times New Roman" w:eastAsia="Calibri" w:hAnsi="Times New Roman" w:cs="Times New Roman"/>
          <w:b/>
          <w:bCs/>
          <w:sz w:val="24"/>
          <w:szCs w:val="24"/>
          <w:lang w:val="en-US"/>
        </w:rPr>
        <w:t>Appetite Among Target Group During Corona Virus Infection</w:t>
      </w:r>
    </w:p>
    <w:tbl>
      <w:tblPr>
        <w:tblStyle w:val="TableGrid2"/>
        <w:tblpPr w:leftFromText="180" w:rightFromText="180" w:vertAnchor="text" w:horzAnchor="margin" w:tblpY="230"/>
        <w:tblW w:w="0" w:type="auto"/>
        <w:tblLook w:val="04A0" w:firstRow="1" w:lastRow="0" w:firstColumn="1" w:lastColumn="0" w:noHBand="0" w:noVBand="1"/>
      </w:tblPr>
      <w:tblGrid>
        <w:gridCol w:w="1642"/>
        <w:gridCol w:w="1638"/>
        <w:gridCol w:w="1593"/>
        <w:gridCol w:w="1576"/>
        <w:gridCol w:w="1692"/>
      </w:tblGrid>
      <w:tr w:rsidR="00703566" w:rsidRPr="00703566" w14:paraId="72C33597" w14:textId="77777777" w:rsidTr="008A6F48">
        <w:tc>
          <w:tcPr>
            <w:tcW w:w="1642" w:type="dxa"/>
          </w:tcPr>
          <w:p w14:paraId="21C00363"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bookmarkStart w:id="20" w:name="_Hlk66364924"/>
            <w:r w:rsidRPr="00703566">
              <w:rPr>
                <w:rFonts w:ascii="Times New Roman" w:eastAsia="Calibri" w:hAnsi="Times New Roman" w:cs="Times New Roman"/>
                <w:b/>
                <w:bCs/>
                <w:sz w:val="24"/>
                <w:szCs w:val="24"/>
                <w:lang w:val="en-US"/>
              </w:rPr>
              <w:t xml:space="preserve">Appetite </w:t>
            </w:r>
          </w:p>
        </w:tc>
        <w:tc>
          <w:tcPr>
            <w:tcW w:w="1638" w:type="dxa"/>
          </w:tcPr>
          <w:p w14:paraId="5E4EC41B"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Females </w:t>
            </w:r>
          </w:p>
        </w:tc>
        <w:tc>
          <w:tcPr>
            <w:tcW w:w="1593" w:type="dxa"/>
          </w:tcPr>
          <w:p w14:paraId="0EC6232B"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Males </w:t>
            </w:r>
          </w:p>
        </w:tc>
        <w:tc>
          <w:tcPr>
            <w:tcW w:w="1576" w:type="dxa"/>
          </w:tcPr>
          <w:p w14:paraId="623FD68D"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Total </w:t>
            </w:r>
          </w:p>
        </w:tc>
        <w:tc>
          <w:tcPr>
            <w:tcW w:w="1692" w:type="dxa"/>
          </w:tcPr>
          <w:p w14:paraId="4616C653"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Percentage </w:t>
            </w:r>
          </w:p>
        </w:tc>
      </w:tr>
      <w:tr w:rsidR="00703566" w:rsidRPr="00703566" w14:paraId="280189D9" w14:textId="77777777" w:rsidTr="008A6F48">
        <w:tc>
          <w:tcPr>
            <w:tcW w:w="1642" w:type="dxa"/>
          </w:tcPr>
          <w:p w14:paraId="45EBE11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Poor </w:t>
            </w:r>
          </w:p>
        </w:tc>
        <w:tc>
          <w:tcPr>
            <w:tcW w:w="1638" w:type="dxa"/>
          </w:tcPr>
          <w:p w14:paraId="0526CCF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45</w:t>
            </w:r>
          </w:p>
        </w:tc>
        <w:tc>
          <w:tcPr>
            <w:tcW w:w="1593" w:type="dxa"/>
          </w:tcPr>
          <w:p w14:paraId="3C917CD0"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38</w:t>
            </w:r>
          </w:p>
        </w:tc>
        <w:tc>
          <w:tcPr>
            <w:tcW w:w="1576" w:type="dxa"/>
          </w:tcPr>
          <w:p w14:paraId="346E1F0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83</w:t>
            </w:r>
          </w:p>
        </w:tc>
        <w:tc>
          <w:tcPr>
            <w:tcW w:w="1692" w:type="dxa"/>
          </w:tcPr>
          <w:p w14:paraId="7FA9968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83</w:t>
            </w:r>
          </w:p>
        </w:tc>
      </w:tr>
      <w:tr w:rsidR="00703566" w:rsidRPr="00703566" w14:paraId="5479AA34" w14:textId="77777777" w:rsidTr="008A6F48">
        <w:tc>
          <w:tcPr>
            <w:tcW w:w="1642" w:type="dxa"/>
          </w:tcPr>
          <w:p w14:paraId="5E120F9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Average </w:t>
            </w:r>
          </w:p>
        </w:tc>
        <w:tc>
          <w:tcPr>
            <w:tcW w:w="1638" w:type="dxa"/>
          </w:tcPr>
          <w:p w14:paraId="75ECF1D0"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w:t>
            </w:r>
          </w:p>
        </w:tc>
        <w:tc>
          <w:tcPr>
            <w:tcW w:w="1593" w:type="dxa"/>
          </w:tcPr>
          <w:p w14:paraId="1E05B03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w:t>
            </w:r>
          </w:p>
        </w:tc>
        <w:tc>
          <w:tcPr>
            <w:tcW w:w="1576" w:type="dxa"/>
          </w:tcPr>
          <w:p w14:paraId="5B4657B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w:t>
            </w:r>
          </w:p>
        </w:tc>
        <w:tc>
          <w:tcPr>
            <w:tcW w:w="1692" w:type="dxa"/>
          </w:tcPr>
          <w:p w14:paraId="349F0B1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17</w:t>
            </w:r>
          </w:p>
        </w:tc>
      </w:tr>
      <w:tr w:rsidR="00703566" w:rsidRPr="00703566" w14:paraId="0485C3FC" w14:textId="77777777" w:rsidTr="008A6F48">
        <w:tc>
          <w:tcPr>
            <w:tcW w:w="1642" w:type="dxa"/>
          </w:tcPr>
          <w:p w14:paraId="5A836AD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Good </w:t>
            </w:r>
          </w:p>
        </w:tc>
        <w:tc>
          <w:tcPr>
            <w:tcW w:w="1638" w:type="dxa"/>
          </w:tcPr>
          <w:p w14:paraId="7EA6FE7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593" w:type="dxa"/>
          </w:tcPr>
          <w:p w14:paraId="677E04A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576" w:type="dxa"/>
          </w:tcPr>
          <w:p w14:paraId="6886906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692" w:type="dxa"/>
          </w:tcPr>
          <w:p w14:paraId="0D5EAFA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r>
      <w:tr w:rsidR="00703566" w:rsidRPr="00703566" w14:paraId="024D15D5" w14:textId="77777777" w:rsidTr="008A6F48">
        <w:tc>
          <w:tcPr>
            <w:tcW w:w="1642" w:type="dxa"/>
          </w:tcPr>
          <w:p w14:paraId="1ABC490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Very good</w:t>
            </w:r>
          </w:p>
        </w:tc>
        <w:tc>
          <w:tcPr>
            <w:tcW w:w="1638" w:type="dxa"/>
          </w:tcPr>
          <w:p w14:paraId="4449768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593" w:type="dxa"/>
          </w:tcPr>
          <w:p w14:paraId="515486E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576" w:type="dxa"/>
          </w:tcPr>
          <w:p w14:paraId="32C8742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692" w:type="dxa"/>
          </w:tcPr>
          <w:p w14:paraId="4F1C0DD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r>
      <w:tr w:rsidR="00703566" w:rsidRPr="00703566" w14:paraId="4A95BC1A" w14:textId="77777777" w:rsidTr="008A6F48">
        <w:tc>
          <w:tcPr>
            <w:tcW w:w="1642" w:type="dxa"/>
          </w:tcPr>
          <w:p w14:paraId="624B3C7B"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Total </w:t>
            </w:r>
          </w:p>
        </w:tc>
        <w:tc>
          <w:tcPr>
            <w:tcW w:w="1638" w:type="dxa"/>
          </w:tcPr>
          <w:p w14:paraId="7B5C2C0D"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593" w:type="dxa"/>
          </w:tcPr>
          <w:p w14:paraId="1A12D8C0"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576" w:type="dxa"/>
          </w:tcPr>
          <w:p w14:paraId="6011F220"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100</w:t>
            </w:r>
          </w:p>
        </w:tc>
        <w:tc>
          <w:tcPr>
            <w:tcW w:w="1692" w:type="dxa"/>
          </w:tcPr>
          <w:p w14:paraId="2B828E31"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100</w:t>
            </w:r>
          </w:p>
        </w:tc>
      </w:tr>
      <w:bookmarkEnd w:id="20"/>
    </w:tbl>
    <w:p w14:paraId="6D5E042A"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4AD2AD7A"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0F5602A8"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1B098A2" w14:textId="77777777" w:rsidR="00703566" w:rsidRPr="00703566" w:rsidRDefault="00703566" w:rsidP="00703566">
      <w:pPr>
        <w:spacing w:line="480" w:lineRule="auto"/>
        <w:jc w:val="both"/>
        <w:rPr>
          <w:rFonts w:ascii="Times New Roman" w:eastAsia="Calibri" w:hAnsi="Times New Roman" w:cs="Times New Roman"/>
          <w:b/>
          <w:bCs/>
          <w:sz w:val="24"/>
          <w:szCs w:val="24"/>
        </w:rPr>
      </w:pPr>
    </w:p>
    <w:p w14:paraId="1EDC6222" w14:textId="77777777" w:rsidR="00703566" w:rsidRPr="00703566" w:rsidRDefault="00703566" w:rsidP="00703566">
      <w:pPr>
        <w:spacing w:line="480" w:lineRule="auto"/>
        <w:jc w:val="both"/>
        <w:rPr>
          <w:rFonts w:ascii="Times New Roman" w:eastAsia="Calibri" w:hAnsi="Times New Roman" w:cs="Times New Roman"/>
          <w:b/>
          <w:bCs/>
          <w:sz w:val="24"/>
          <w:szCs w:val="24"/>
        </w:rPr>
      </w:pPr>
    </w:p>
    <w:p w14:paraId="07AD7FC2"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Table 11</w:t>
      </w:r>
      <w:r w:rsidRPr="00703566">
        <w:rPr>
          <w:rFonts w:ascii="Times New Roman" w:eastAsia="Calibri" w:hAnsi="Times New Roman" w:cs="Times New Roman"/>
          <w:sz w:val="24"/>
          <w:szCs w:val="24"/>
        </w:rPr>
        <w:t xml:space="preserve"> shows appetite of target group during corona virus infection. </w:t>
      </w:r>
      <w:bookmarkStart w:id="21" w:name="_Hlk68563599"/>
      <w:bookmarkStart w:id="22" w:name="_Hlk68529222"/>
      <w:r w:rsidRPr="00703566">
        <w:rPr>
          <w:rFonts w:ascii="Times New Roman" w:eastAsia="Calibri" w:hAnsi="Times New Roman" w:cs="Times New Roman"/>
          <w:sz w:val="24"/>
          <w:szCs w:val="24"/>
        </w:rPr>
        <w:t xml:space="preserve">It reveals that 83% of the samples have poor appetite in which 45 are females and 38 are males. </w:t>
      </w:r>
      <w:bookmarkEnd w:id="21"/>
      <w:r w:rsidRPr="00703566">
        <w:rPr>
          <w:rFonts w:ascii="Times New Roman" w:eastAsia="Calibri" w:hAnsi="Times New Roman" w:cs="Times New Roman"/>
          <w:sz w:val="24"/>
          <w:szCs w:val="24"/>
        </w:rPr>
        <w:t>17% of the people had average appetite, in which 5 are females and 12 are males. Appetite of female groups compared to males, females had poor appetite, that may induce malnourished state during corona virus infection.</w:t>
      </w:r>
      <w:bookmarkEnd w:id="22"/>
      <w:r w:rsidRPr="00703566">
        <w:rPr>
          <w:rFonts w:ascii="Times New Roman" w:eastAsia="Calibri" w:hAnsi="Times New Roman" w:cs="Times New Roman"/>
          <w:sz w:val="24"/>
          <w:szCs w:val="24"/>
        </w:rPr>
        <w:t xml:space="preserve"> Another survey of Italian adolescents and adults found that more than half of them had experienced changes in their appetite, with some evidence which differed by age, gender, and employment status. In a survey of adults in Poland, more than 40% said they were eating more and 42% said they had gained weight (loss or gain)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{"citationItems":[{"id":"ITEM-1","itemData":{"DOI":"10.3390/nu8020069","ISSN":"20726643","PMID":"26828516","abstract":"Older people frequently fail to ingest adequate amount of food to meet their essential energy and nutrient requirements. Anorexia of aging, defined by decrease in appetite and/or food intake in old age, is a major contributing factor to under-nutrition and adverse health outcomes in the geriatric population. This disorder is indeed highly prevalent and is recognized as an independent predictor of morbidity and mortality in different clinical settings. Even though anorexia is not an unavoidable consequence of aging, advancing age often promotes its development through various mechanisms. Age-related changes in life-style, disease conditions, as well as social and environmental factors have the potential to directly affect dietary behaviors and nutritional status. In spite of their importance, problems related to food intake and, more generally, nutritional status are seldom attended to in clinical practice. While this may be the result of an “ageist” approach, it should be acknowledged that simple interventions, such as oral nutritional supplementation or modified diets, could meaningfully improve the health status and quality of life of older persons.","author":[{"dropping-particle":"","family":"Landi","given":"Francesco","non-dropping-particle":"","parse-names":false,"suffix":""},{"dropping-particle":"","family":"Calvani","given":"Riccardo","non-dropping-particle":"","parse-names":false,"suffix":""},{"dropping-particle":"","family":"Tosato","given":"Matteo","non-dropping-particle":"","parse-names":false,"suffix":""},{"dropping-particle":"","family":"Martone","given":"Anna Maria","non-dropping-particle":"","parse-names":false,"suffix":""},{"dropping-particle":"","family":"Ortolani","given":"Elena","non-dropping-particle":"","parse-names":false,"suffix":""},{"dropping-particle":"","family":"Savera","given":"Giulia","non-dropping-particle":"","parse-names":false,"suffix":""},{"dropping-particle":"","family":"Sisto","given":"Alex","non-dropping-particle":"","parse-names":false,"suffix":""},{"dropping-particle":"","family":"Marzetti","given":"Emanuele","non-dropping-particle":"","parse-names":false,"suffix":""}],"container-title":"Nutrients","id":"ITEM-1","issue":"2","issued":{"date-parts":[["2016","1","27"]]},"publisher":"MDPI AG","title":"Anorexia of aging: Risk factors, consequences, and potential treatments","type":"article","volume":"8"},"uris":["http://www.mendeley.com/documents/?uuid=3971b852-aef3-3b44-a925-15cd158c2c53"]}],"mendeley":{"formattedCitation":"(Landi et al., 2016)","plainTextFormattedCitation":"(Landi et al., 2016)","previouslyFormattedCitation":"(Landi et al., 2016)"},"properties":{"noteIndex":0},"schema":"https://github.com/citation-style-language/schema/raw/master/csl-citation.json"}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(Landi et al., 2016)</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 xml:space="preserve">.   </w:t>
      </w:r>
    </w:p>
    <w:p w14:paraId="260ADAF1"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097E2280"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46FE3EE6"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22BFD273"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33F957E6" w14:textId="77777777" w:rsidR="00703566" w:rsidRPr="00703566" w:rsidRDefault="00703566" w:rsidP="00703566">
      <w:pPr>
        <w:spacing w:line="480" w:lineRule="auto"/>
        <w:ind w:left="3600"/>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lang w:val="en-US"/>
        </w:rPr>
        <w:lastRenderedPageBreak/>
        <w:t>Table 12</w:t>
      </w:r>
    </w:p>
    <w:p w14:paraId="7FADEF63"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4.6.4 Eating Disorders of Selected Samples</w:t>
      </w:r>
    </w:p>
    <w:tbl>
      <w:tblPr>
        <w:tblStyle w:val="TableGrid2"/>
        <w:tblpPr w:leftFromText="180" w:rightFromText="180" w:vertAnchor="text" w:horzAnchor="margin" w:tblpXSpec="center" w:tblpY="174"/>
        <w:tblW w:w="0" w:type="auto"/>
        <w:tblLook w:val="04A0" w:firstRow="1" w:lastRow="0" w:firstColumn="1" w:lastColumn="0" w:noHBand="0" w:noVBand="1"/>
      </w:tblPr>
      <w:tblGrid>
        <w:gridCol w:w="2625"/>
        <w:gridCol w:w="2594"/>
        <w:gridCol w:w="2521"/>
      </w:tblGrid>
      <w:tr w:rsidR="00703566" w:rsidRPr="00703566" w14:paraId="743D6AB1" w14:textId="77777777" w:rsidTr="008A6F48">
        <w:trPr>
          <w:trHeight w:val="716"/>
        </w:trPr>
        <w:tc>
          <w:tcPr>
            <w:tcW w:w="2625" w:type="dxa"/>
          </w:tcPr>
          <w:p w14:paraId="4EC5AB31"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Eating disorders</w:t>
            </w:r>
          </w:p>
        </w:tc>
        <w:tc>
          <w:tcPr>
            <w:tcW w:w="2594" w:type="dxa"/>
          </w:tcPr>
          <w:p w14:paraId="104544F4"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Females </w:t>
            </w:r>
          </w:p>
        </w:tc>
        <w:tc>
          <w:tcPr>
            <w:tcW w:w="2521" w:type="dxa"/>
          </w:tcPr>
          <w:p w14:paraId="4C73096D"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Males </w:t>
            </w:r>
          </w:p>
        </w:tc>
      </w:tr>
      <w:tr w:rsidR="00703566" w:rsidRPr="00703566" w14:paraId="28AEF00A" w14:textId="77777777" w:rsidTr="008A6F48">
        <w:trPr>
          <w:trHeight w:val="543"/>
        </w:trPr>
        <w:tc>
          <w:tcPr>
            <w:tcW w:w="2625" w:type="dxa"/>
          </w:tcPr>
          <w:p w14:paraId="73330F2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Anorexia</w:t>
            </w:r>
          </w:p>
        </w:tc>
        <w:tc>
          <w:tcPr>
            <w:tcW w:w="2594" w:type="dxa"/>
          </w:tcPr>
          <w:p w14:paraId="08D9E30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25</w:t>
            </w:r>
          </w:p>
        </w:tc>
        <w:tc>
          <w:tcPr>
            <w:tcW w:w="2521" w:type="dxa"/>
          </w:tcPr>
          <w:p w14:paraId="29E7478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15</w:t>
            </w:r>
          </w:p>
        </w:tc>
      </w:tr>
      <w:tr w:rsidR="00703566" w:rsidRPr="00703566" w14:paraId="5719100D" w14:textId="77777777" w:rsidTr="008A6F48">
        <w:trPr>
          <w:trHeight w:val="589"/>
        </w:trPr>
        <w:tc>
          <w:tcPr>
            <w:tcW w:w="2625" w:type="dxa"/>
          </w:tcPr>
          <w:p w14:paraId="5A3B70B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Bulimia nervosa</w:t>
            </w:r>
          </w:p>
        </w:tc>
        <w:tc>
          <w:tcPr>
            <w:tcW w:w="2594" w:type="dxa"/>
          </w:tcPr>
          <w:p w14:paraId="3561234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w:t>
            </w:r>
          </w:p>
        </w:tc>
        <w:tc>
          <w:tcPr>
            <w:tcW w:w="2521" w:type="dxa"/>
          </w:tcPr>
          <w:p w14:paraId="6A9451F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r>
      <w:tr w:rsidR="00703566" w:rsidRPr="00703566" w14:paraId="7B89E2C7" w14:textId="77777777" w:rsidTr="008A6F48">
        <w:trPr>
          <w:trHeight w:val="543"/>
        </w:trPr>
        <w:tc>
          <w:tcPr>
            <w:tcW w:w="2625" w:type="dxa"/>
          </w:tcPr>
          <w:p w14:paraId="778999B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Both (anorexia nervosa and bulimia nervosa)</w:t>
            </w:r>
          </w:p>
        </w:tc>
        <w:tc>
          <w:tcPr>
            <w:tcW w:w="2594" w:type="dxa"/>
          </w:tcPr>
          <w:p w14:paraId="74DAD6E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w:t>
            </w:r>
          </w:p>
        </w:tc>
        <w:tc>
          <w:tcPr>
            <w:tcW w:w="2521" w:type="dxa"/>
          </w:tcPr>
          <w:p w14:paraId="0A73121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r>
      <w:tr w:rsidR="00703566" w:rsidRPr="00703566" w14:paraId="3667552A" w14:textId="77777777" w:rsidTr="008A6F48">
        <w:trPr>
          <w:trHeight w:val="531"/>
        </w:trPr>
        <w:tc>
          <w:tcPr>
            <w:tcW w:w="2625" w:type="dxa"/>
          </w:tcPr>
          <w:p w14:paraId="73CDF81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Nil</w:t>
            </w:r>
          </w:p>
        </w:tc>
        <w:tc>
          <w:tcPr>
            <w:tcW w:w="2594" w:type="dxa"/>
          </w:tcPr>
          <w:p w14:paraId="3FB421E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19</w:t>
            </w:r>
          </w:p>
        </w:tc>
        <w:tc>
          <w:tcPr>
            <w:tcW w:w="2521" w:type="dxa"/>
          </w:tcPr>
          <w:p w14:paraId="7C85DC7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34</w:t>
            </w:r>
          </w:p>
        </w:tc>
      </w:tr>
      <w:tr w:rsidR="00703566" w:rsidRPr="00703566" w14:paraId="33F5DB87" w14:textId="77777777" w:rsidTr="008A6F48">
        <w:trPr>
          <w:trHeight w:val="531"/>
        </w:trPr>
        <w:tc>
          <w:tcPr>
            <w:tcW w:w="2625" w:type="dxa"/>
          </w:tcPr>
          <w:p w14:paraId="353AEC06"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Total</w:t>
            </w:r>
          </w:p>
        </w:tc>
        <w:tc>
          <w:tcPr>
            <w:tcW w:w="2594" w:type="dxa"/>
          </w:tcPr>
          <w:p w14:paraId="307D6BC3"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2521" w:type="dxa"/>
          </w:tcPr>
          <w:p w14:paraId="569BD98D"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r>
    </w:tbl>
    <w:p w14:paraId="79F393B2"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107602B6"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1A52BB17"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w:t>
      </w:r>
    </w:p>
    <w:p w14:paraId="72E012F5"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19442449"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6630D1EB"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9F2168F"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Eating disorders are complex and chronic medical conditions marked by irregular eating habits that may result in serious morbidity or even death. Eating disorders are often underestimated in the elderly, who are particularly vulnerable to the complications that may occur. Given the high morbidity and mortality rates associated with eating disorders in the elderly, as well as the wide variety of health complications that may occur as a result of eating disorders, such as vascular, metabolic, gastric, and bone diseases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{"citationItems":[{"id":"ITEM-1","itemData":{"DOI":"10.1161/01.CIR.103.17.2153","ISSN":"00097322","PMID":"11331255","abstract":"Background - In congestive heart failure (CHF), the prognostic significance of impaired respiratory muscle strength has not been established. Methods and Results - Maximal inspiratory pressure (Pimax) was prospectively determined in 244 consecutive patients (207 men) with CHF (ischemic, n=75; idiopathic dilated cardiomyopathy, n= 169; age, 54±11 years; left ventricular ejection fraction [LVEF], 22±10%). Pimax was lower in the 244 patients with CHF than in 25 control subjects (7.6±3.3 versus 10.5±3.7 kPa; P=0.001). The 57 patients (23%) who died during follow-up (23±16 months; range, 1 to 48 months) had an even more reduced Pimax (6.3±3.2 versus 8.1±3.2 kPa in survivors; P=0.001). Kaplan-Meier survival curves differentiated between patients subdivided according to quartiles for Pimax (P=0.014). Pimax was a strong risk predictor in both univariate (P=0.001) and multivariate Cox proportional hazard analyses (P=0.03); multivariate analyses also included NYHA functional class, LVEF, peak oxygen consumption (peak Vo2), and norepinephrine plasma concentration. The areas under the receiver-operating characteristic curves for prediction of 1-year survival were comparable for Pimax and peak Vo2 (area under the curve [AUC], 0.68 versus 0.73; P=0.28), and they improved with the triple combination of Pimax, peak Vo2, and LVEF (AUC, 0.82; P=0.004 compared with AUC of Pimax). Conclusions - In patients with CHF, inspiratory muscle strength is reduced and emerges as a novel, independent predictor of prognosis. Because testing for Pimax is simple in clinical practice, it might serve as an additional factor to improve risk stratification and patient selection for cardiac transplantation.","author":[{"dropping-particle":"","family":"Meyer","given":"F. Joachim","non-dropping-particle":"","parse-names":false,"suffix":""},{"dropping-particle":"","family":"Borst","given":"Mathias M.","non-dropping-particle":"","parse-names":false,"suffix":""},{"dropping-particle":"","family":"Zugck","given":"Christian","non-dropping-particle":"","parse-names":false,"suffix":""},{"dropping-particle":"","family":"Kirschke","given":"Andreas","non-dropping-particle":"","parse-names":false,"suffix":""},{"dropping-particle":"","family":"Schellberg","given":"Dieter","non-dropping-particle":"","parse-names":false,"suffix":""},{"dropping-particle":"","family":"Kübler","given":"Wolfgang","non-dropping-particle":"","parse-names":false,"suffix":""},{"dropping-particle":"","family":"Haass","given":"Markus","non-dropping-particle":"","parse-names":false,"suffix":""}],"container-title":"Circulation","id":"ITEM-1","issue":"17","issued":{"date-parts":[["2001","5","1"]]},"page":"2153-2158","publisher":"Lippincott Williams and Wilkins","title":"Respiratory muscle dysfunction in congestive heart failure: Clinical correlation and prognostic significance","type":"article-journal","volume":"103"},"uris":["http://www.mendeley.com/documents/?uuid=dd71eda8-8f3c-39d6-a42f-6a8b0ca9b60a"]}],"mendeley":{"formattedCitation":"(Meyer et al., 2001)","plainTextFormattedCitation":"(Meyer et al., 2001)","previouslyFormattedCitation":"(Meyer et al., 2001)"},"properties":{"noteIndex":0},"schema":"https://github.com/citation-style-language/schema/raw/master/csl-citation.json"}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(Meyer et al., 2001)</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57586542"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SCOFF tool is used to detect the eating disorders in geriatric population. The SCOFF questionnaire appears to be a highly useful screening tool for identifying eating disorders; it is short, memorable, and quick to administer and score, and it is intended to raise suspicion rather than diagnose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{"citationItems":[{"id":"ITEM-1","itemData":{"DOI":"10.1016/S0899-9007(00)00320-8","ISSN":"08999007","PMID":"10906551","author":[{"dropping-particle":"","family":"Hetherington","given":"Marion M.","non-dropping-particle":"","parse-names":false,"suffix":""}],"container-title":"Nutrition","id":"ITEM-1","issue":"7-8","issued":{"date-parts":[["2000","7"]]},"page":"547-551","publisher":"Nutrition","title":"Eating disorders: Diagnosis, etiology, and prevention","type":"paper-conference","volume":"16"},"uris":["http://www.mendeley.com/documents/?uuid=0e47605e-6838-39d1-b3c9-a8fa3671497b"]}],"mendeley":{"formattedCitation":"(Hetherington, 2000)","plainTextFormattedCitation":"(Hetherington, 2000)","previouslyFormattedCitation":"(Hetherington, 2000)"},"properties":{"noteIndex":0},"schema":"https://github.com/citation-style-language/schema/raw/master/csl-citation.json"}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(Hetherington, 2000)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753171CF"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bCs/>
          <w:sz w:val="24"/>
          <w:szCs w:val="24"/>
          <w:lang w:val="en-US"/>
        </w:rPr>
        <w:t>Table 12</w:t>
      </w:r>
      <w:r w:rsidRPr="00703566">
        <w:rPr>
          <w:rFonts w:ascii="Times New Roman" w:eastAsia="Calibri" w:hAnsi="Times New Roman" w:cs="Times New Roman"/>
          <w:sz w:val="24"/>
          <w:szCs w:val="24"/>
          <w:lang w:val="en-US"/>
        </w:rPr>
        <w:t xml:space="preserve"> reveals that </w:t>
      </w:r>
      <w:bookmarkStart w:id="23" w:name="_Hlk68529354"/>
      <w:r w:rsidRPr="00703566">
        <w:rPr>
          <w:rFonts w:ascii="Times New Roman" w:eastAsia="Calibri" w:hAnsi="Times New Roman" w:cs="Times New Roman"/>
          <w:sz w:val="24"/>
          <w:szCs w:val="24"/>
          <w:lang w:val="en-US"/>
        </w:rPr>
        <w:t>25 females and 15 males had anorexia,4 females had bulimia nervosa and both anorexia and bulimia nervosa were found in 2 females and 3 females. 19 females and 34 males had no eating disorder. This table also exhibit that females had eating disorders more than men.</w:t>
      </w:r>
    </w:p>
    <w:bookmarkEnd w:id="23"/>
    <w:p w14:paraId="04E8146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lastRenderedPageBreak/>
        <w:t xml:space="preserve">Eating disorders in the geriatric people, include anorexia nervosa and bulimia nervosa. Aging process, physical illness, with age-related psychological problems, and changes in familial relationships are associated with the development of eating disorders in the elderly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{"citationItems":[{"id":"ITEM-1","itemData":{"DOI":"10.1017/S1041610210000104","author":[{"dropping-particle":"","family":"Lapid","given":"Maria I","non-dropping-particle":"","parse-names":false,"suffix":""}],"id":"ITEM-1","issued":{"date-parts":[["2015"]]},"title":"Eating disorders in the elderly","type":"article-journal"},"uris":["http://www.mendeley.com/documents/?uuid=d3e526fe-f4c8-36ab-a9c9-cda8216d4f3e"]}],"mendeley":{"formattedCitation":"(Lapid, 2015)","plainTextFormattedCitation":"(Lapid, 2015)","previouslyFormattedCitation":"(Lapid, 2015)"},"properties":{"noteIndex":0},"schema":"https://github.com/citation-style-language/schema/raw/master/csl-citation.json"}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(Lapid, 2015)</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566467BF" w14:textId="77777777" w:rsidR="00703566" w:rsidRPr="00703566" w:rsidRDefault="00703566" w:rsidP="00703566">
      <w:pPr>
        <w:spacing w:line="480" w:lineRule="auto"/>
        <w:jc w:val="both"/>
        <w:rPr>
          <w:rFonts w:ascii="Times New Roman" w:eastAsia="Calibri" w:hAnsi="Times New Roman" w:cs="Times New Roman"/>
          <w:sz w:val="24"/>
          <w:szCs w:val="24"/>
        </w:rPr>
      </w:pPr>
      <w:bookmarkStart w:id="24" w:name="_Hlk68592038"/>
      <w:r w:rsidRPr="00703566">
        <w:rPr>
          <w:rFonts w:ascii="Times New Roman" w:eastAsia="Calibri" w:hAnsi="Times New Roman" w:cs="Times New Roman"/>
          <w:sz w:val="24"/>
          <w:szCs w:val="24"/>
        </w:rPr>
        <w:t xml:space="preserve">To compare the appetite information comparison of male patients   during and after COVID 19, use non parametric t test (paired) (V = 0, p-value = 5.886e-07).  There is significant difference between the appetite during and after Covid 19 in male patients. To compare the relationship between appetite (during Covid 19) and nutritional status we use chi square test for independent of attributes. χ </w:t>
      </w:r>
      <w:r w:rsidRPr="00703566">
        <w:rPr>
          <w:rFonts w:ascii="Times New Roman" w:eastAsia="Calibri" w:hAnsi="Times New Roman" w:cs="Times New Roman"/>
          <w:sz w:val="24"/>
          <w:szCs w:val="24"/>
          <w:vertAlign w:val="superscript"/>
        </w:rPr>
        <w:t>2</w:t>
      </w:r>
      <w:r w:rsidRPr="00703566">
        <w:rPr>
          <w:rFonts w:ascii="Times New Roman" w:eastAsia="Calibri" w:hAnsi="Times New Roman" w:cs="Times New Roman"/>
          <w:sz w:val="24"/>
          <w:szCs w:val="24"/>
        </w:rPr>
        <w:t xml:space="preserve">= 7.7503, df = 2, p value = 0.02075 which indicates, nutritional status of the geriatric patients </w:t>
      </w:r>
      <w:proofErr w:type="gramStart"/>
      <w:r w:rsidRPr="00703566">
        <w:rPr>
          <w:rFonts w:ascii="Times New Roman" w:eastAsia="Calibri" w:hAnsi="Times New Roman" w:cs="Times New Roman"/>
          <w:sz w:val="24"/>
          <w:szCs w:val="24"/>
        </w:rPr>
        <w:t>were</w:t>
      </w:r>
      <w:proofErr w:type="gramEnd"/>
      <w:r w:rsidRPr="00703566">
        <w:rPr>
          <w:rFonts w:ascii="Times New Roman" w:eastAsia="Calibri" w:hAnsi="Times New Roman" w:cs="Times New Roman"/>
          <w:sz w:val="24"/>
          <w:szCs w:val="24"/>
        </w:rPr>
        <w:t xml:space="preserve"> independent of appetite.</w:t>
      </w:r>
      <w:bookmarkEnd w:id="24"/>
    </w:p>
    <w:p w14:paraId="64ECF588" w14:textId="77777777" w:rsidR="00703566" w:rsidRPr="00703566" w:rsidRDefault="00703566" w:rsidP="00703566">
      <w:pPr>
        <w:spacing w:line="480" w:lineRule="auto"/>
        <w:ind w:left="2160" w:firstLine="720"/>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Table 13</w:t>
      </w:r>
    </w:p>
    <w:p w14:paraId="719458DD"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4.6.7 Dietary Intake of Samples During COVID 19</w:t>
      </w:r>
    </w:p>
    <w:tbl>
      <w:tblPr>
        <w:tblStyle w:val="TableGrid2"/>
        <w:tblW w:w="0" w:type="auto"/>
        <w:tblLook w:val="04A0" w:firstRow="1" w:lastRow="0" w:firstColumn="1" w:lastColumn="0" w:noHBand="0" w:noVBand="1"/>
      </w:tblPr>
      <w:tblGrid>
        <w:gridCol w:w="1438"/>
        <w:gridCol w:w="1238"/>
        <w:gridCol w:w="1448"/>
        <w:gridCol w:w="1253"/>
        <w:gridCol w:w="1501"/>
        <w:gridCol w:w="1263"/>
      </w:tblGrid>
      <w:tr w:rsidR="00703566" w:rsidRPr="00703566" w14:paraId="21949834" w14:textId="77777777" w:rsidTr="008A6F48">
        <w:tc>
          <w:tcPr>
            <w:tcW w:w="1438" w:type="dxa"/>
          </w:tcPr>
          <w:p w14:paraId="63221D2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bookmarkStart w:id="25" w:name="_Hlk66373345"/>
            <w:r w:rsidRPr="00703566">
              <w:rPr>
                <w:rFonts w:ascii="Times New Roman" w:eastAsia="Calibri" w:hAnsi="Times New Roman" w:cs="Times New Roman"/>
                <w:sz w:val="24"/>
                <w:szCs w:val="24"/>
                <w:lang w:val="en-US"/>
              </w:rPr>
              <w:t>Food groups</w:t>
            </w:r>
          </w:p>
        </w:tc>
        <w:tc>
          <w:tcPr>
            <w:tcW w:w="1238" w:type="dxa"/>
          </w:tcPr>
          <w:p w14:paraId="2EC55F9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Daily </w:t>
            </w:r>
          </w:p>
        </w:tc>
        <w:tc>
          <w:tcPr>
            <w:tcW w:w="1448" w:type="dxa"/>
          </w:tcPr>
          <w:p w14:paraId="64F04E4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3-4 times/week</w:t>
            </w:r>
          </w:p>
        </w:tc>
        <w:tc>
          <w:tcPr>
            <w:tcW w:w="1253" w:type="dxa"/>
          </w:tcPr>
          <w:p w14:paraId="71F8361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 – 2 times /week</w:t>
            </w:r>
          </w:p>
        </w:tc>
        <w:tc>
          <w:tcPr>
            <w:tcW w:w="1501" w:type="dxa"/>
          </w:tcPr>
          <w:p w14:paraId="5A3FD59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1 -3 times/month</w:t>
            </w:r>
          </w:p>
        </w:tc>
        <w:tc>
          <w:tcPr>
            <w:tcW w:w="1263" w:type="dxa"/>
          </w:tcPr>
          <w:p w14:paraId="5DF1D56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Never </w:t>
            </w:r>
          </w:p>
        </w:tc>
      </w:tr>
      <w:tr w:rsidR="00703566" w:rsidRPr="00703566" w14:paraId="767D7298" w14:textId="77777777" w:rsidTr="008A6F48">
        <w:tc>
          <w:tcPr>
            <w:tcW w:w="1438" w:type="dxa"/>
          </w:tcPr>
          <w:p w14:paraId="5C9FB6D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Cereals and millets</w:t>
            </w:r>
          </w:p>
        </w:tc>
        <w:tc>
          <w:tcPr>
            <w:tcW w:w="1238" w:type="dxa"/>
          </w:tcPr>
          <w:p w14:paraId="7635450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100</w:t>
            </w:r>
          </w:p>
        </w:tc>
        <w:tc>
          <w:tcPr>
            <w:tcW w:w="1448" w:type="dxa"/>
          </w:tcPr>
          <w:p w14:paraId="74A69E0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253" w:type="dxa"/>
          </w:tcPr>
          <w:p w14:paraId="37091CB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501" w:type="dxa"/>
          </w:tcPr>
          <w:p w14:paraId="739FEF9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263" w:type="dxa"/>
          </w:tcPr>
          <w:p w14:paraId="59B7AD3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18F3D1AB" w14:textId="77777777" w:rsidTr="008A6F48">
        <w:tc>
          <w:tcPr>
            <w:tcW w:w="1438" w:type="dxa"/>
          </w:tcPr>
          <w:p w14:paraId="45A219F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Pulses and legumes</w:t>
            </w:r>
          </w:p>
        </w:tc>
        <w:tc>
          <w:tcPr>
            <w:tcW w:w="1238" w:type="dxa"/>
          </w:tcPr>
          <w:p w14:paraId="76CB168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79</w:t>
            </w:r>
          </w:p>
        </w:tc>
        <w:tc>
          <w:tcPr>
            <w:tcW w:w="1448" w:type="dxa"/>
          </w:tcPr>
          <w:p w14:paraId="682C5EA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10</w:t>
            </w:r>
          </w:p>
        </w:tc>
        <w:tc>
          <w:tcPr>
            <w:tcW w:w="1253" w:type="dxa"/>
          </w:tcPr>
          <w:p w14:paraId="0937572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c>
          <w:tcPr>
            <w:tcW w:w="1501" w:type="dxa"/>
          </w:tcPr>
          <w:p w14:paraId="2B18298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263" w:type="dxa"/>
          </w:tcPr>
          <w:p w14:paraId="58FDBAC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4CA1C9C9" w14:textId="77777777" w:rsidTr="008A6F48">
        <w:tc>
          <w:tcPr>
            <w:tcW w:w="1438" w:type="dxa"/>
          </w:tcPr>
          <w:p w14:paraId="5CBF516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Egg </w:t>
            </w:r>
          </w:p>
        </w:tc>
        <w:tc>
          <w:tcPr>
            <w:tcW w:w="1238" w:type="dxa"/>
          </w:tcPr>
          <w:p w14:paraId="32A1E24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10</w:t>
            </w:r>
          </w:p>
        </w:tc>
        <w:tc>
          <w:tcPr>
            <w:tcW w:w="1448" w:type="dxa"/>
          </w:tcPr>
          <w:p w14:paraId="0772E18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58</w:t>
            </w:r>
          </w:p>
        </w:tc>
        <w:tc>
          <w:tcPr>
            <w:tcW w:w="1253" w:type="dxa"/>
          </w:tcPr>
          <w:p w14:paraId="5D42340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18</w:t>
            </w:r>
          </w:p>
        </w:tc>
        <w:tc>
          <w:tcPr>
            <w:tcW w:w="1501" w:type="dxa"/>
          </w:tcPr>
          <w:p w14:paraId="4FD20D4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c>
          <w:tcPr>
            <w:tcW w:w="1263" w:type="dxa"/>
          </w:tcPr>
          <w:p w14:paraId="4853A9B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r>
      <w:tr w:rsidR="00703566" w:rsidRPr="00703566" w14:paraId="1CCA3DE8" w14:textId="77777777" w:rsidTr="008A6F48">
        <w:tc>
          <w:tcPr>
            <w:tcW w:w="1438" w:type="dxa"/>
          </w:tcPr>
          <w:p w14:paraId="75C6FFB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Fish</w:t>
            </w:r>
          </w:p>
        </w:tc>
        <w:tc>
          <w:tcPr>
            <w:tcW w:w="1238" w:type="dxa"/>
          </w:tcPr>
          <w:p w14:paraId="6E4D8F5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w:t>
            </w:r>
          </w:p>
        </w:tc>
        <w:tc>
          <w:tcPr>
            <w:tcW w:w="1448" w:type="dxa"/>
          </w:tcPr>
          <w:p w14:paraId="3081A1F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w:t>
            </w:r>
          </w:p>
        </w:tc>
        <w:tc>
          <w:tcPr>
            <w:tcW w:w="1253" w:type="dxa"/>
          </w:tcPr>
          <w:p w14:paraId="782EC5E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38</w:t>
            </w:r>
          </w:p>
        </w:tc>
        <w:tc>
          <w:tcPr>
            <w:tcW w:w="1501" w:type="dxa"/>
          </w:tcPr>
          <w:p w14:paraId="356B654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43</w:t>
            </w:r>
          </w:p>
        </w:tc>
        <w:tc>
          <w:tcPr>
            <w:tcW w:w="1263" w:type="dxa"/>
          </w:tcPr>
          <w:p w14:paraId="7419CC9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r>
      <w:tr w:rsidR="00703566" w:rsidRPr="00703566" w14:paraId="1BF5D6A5" w14:textId="77777777" w:rsidTr="008A6F48">
        <w:tc>
          <w:tcPr>
            <w:tcW w:w="1438" w:type="dxa"/>
          </w:tcPr>
          <w:p w14:paraId="15B5B5B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Meat </w:t>
            </w:r>
          </w:p>
        </w:tc>
        <w:tc>
          <w:tcPr>
            <w:tcW w:w="1238" w:type="dxa"/>
          </w:tcPr>
          <w:p w14:paraId="7709DFE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448" w:type="dxa"/>
          </w:tcPr>
          <w:p w14:paraId="50E0D09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w:t>
            </w:r>
          </w:p>
        </w:tc>
        <w:tc>
          <w:tcPr>
            <w:tcW w:w="1253" w:type="dxa"/>
          </w:tcPr>
          <w:p w14:paraId="5BAEA83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12</w:t>
            </w:r>
          </w:p>
        </w:tc>
        <w:tc>
          <w:tcPr>
            <w:tcW w:w="1501" w:type="dxa"/>
          </w:tcPr>
          <w:p w14:paraId="56790A4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28</w:t>
            </w:r>
          </w:p>
        </w:tc>
        <w:tc>
          <w:tcPr>
            <w:tcW w:w="1263" w:type="dxa"/>
          </w:tcPr>
          <w:p w14:paraId="7C8BD84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36</w:t>
            </w:r>
          </w:p>
        </w:tc>
      </w:tr>
      <w:tr w:rsidR="00703566" w:rsidRPr="00703566" w14:paraId="76E329F3" w14:textId="77777777" w:rsidTr="008A6F48">
        <w:tc>
          <w:tcPr>
            <w:tcW w:w="1438" w:type="dxa"/>
          </w:tcPr>
          <w:p w14:paraId="4138354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Vegetables</w:t>
            </w:r>
          </w:p>
        </w:tc>
        <w:tc>
          <w:tcPr>
            <w:tcW w:w="1238" w:type="dxa"/>
          </w:tcPr>
          <w:p w14:paraId="2461E87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49</w:t>
            </w:r>
          </w:p>
        </w:tc>
        <w:tc>
          <w:tcPr>
            <w:tcW w:w="1448" w:type="dxa"/>
          </w:tcPr>
          <w:p w14:paraId="5B203C7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15</w:t>
            </w:r>
          </w:p>
        </w:tc>
        <w:tc>
          <w:tcPr>
            <w:tcW w:w="1253" w:type="dxa"/>
          </w:tcPr>
          <w:p w14:paraId="7EBC077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w:t>
            </w:r>
          </w:p>
        </w:tc>
        <w:tc>
          <w:tcPr>
            <w:tcW w:w="1501" w:type="dxa"/>
          </w:tcPr>
          <w:p w14:paraId="0E76DAC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w:t>
            </w:r>
          </w:p>
        </w:tc>
        <w:tc>
          <w:tcPr>
            <w:tcW w:w="1263" w:type="dxa"/>
          </w:tcPr>
          <w:p w14:paraId="00B33AC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r>
      <w:tr w:rsidR="00703566" w:rsidRPr="00703566" w14:paraId="5FDC2B2F" w14:textId="77777777" w:rsidTr="008A6F48">
        <w:tc>
          <w:tcPr>
            <w:tcW w:w="1438" w:type="dxa"/>
          </w:tcPr>
          <w:p w14:paraId="03CD55E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Leafy vegetables</w:t>
            </w:r>
          </w:p>
        </w:tc>
        <w:tc>
          <w:tcPr>
            <w:tcW w:w="1238" w:type="dxa"/>
          </w:tcPr>
          <w:p w14:paraId="776633D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48</w:t>
            </w:r>
          </w:p>
        </w:tc>
        <w:tc>
          <w:tcPr>
            <w:tcW w:w="1448" w:type="dxa"/>
          </w:tcPr>
          <w:p w14:paraId="26DFE200"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18</w:t>
            </w:r>
          </w:p>
        </w:tc>
        <w:tc>
          <w:tcPr>
            <w:tcW w:w="1253" w:type="dxa"/>
          </w:tcPr>
          <w:p w14:paraId="75EDEFA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c>
          <w:tcPr>
            <w:tcW w:w="1501" w:type="dxa"/>
          </w:tcPr>
          <w:p w14:paraId="440F580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w:t>
            </w:r>
          </w:p>
        </w:tc>
        <w:tc>
          <w:tcPr>
            <w:tcW w:w="1263" w:type="dxa"/>
          </w:tcPr>
          <w:p w14:paraId="1BB091F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r>
      <w:tr w:rsidR="00703566" w:rsidRPr="00703566" w14:paraId="2FDA9625" w14:textId="77777777" w:rsidTr="008A6F48">
        <w:tc>
          <w:tcPr>
            <w:tcW w:w="1438" w:type="dxa"/>
          </w:tcPr>
          <w:p w14:paraId="1C71995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Fruits </w:t>
            </w:r>
          </w:p>
        </w:tc>
        <w:tc>
          <w:tcPr>
            <w:tcW w:w="1238" w:type="dxa"/>
          </w:tcPr>
          <w:p w14:paraId="4D1494B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c>
          <w:tcPr>
            <w:tcW w:w="1448" w:type="dxa"/>
          </w:tcPr>
          <w:p w14:paraId="29992E5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13</w:t>
            </w:r>
          </w:p>
        </w:tc>
        <w:tc>
          <w:tcPr>
            <w:tcW w:w="1253" w:type="dxa"/>
          </w:tcPr>
          <w:p w14:paraId="7493392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27</w:t>
            </w:r>
          </w:p>
        </w:tc>
        <w:tc>
          <w:tcPr>
            <w:tcW w:w="1501" w:type="dxa"/>
          </w:tcPr>
          <w:p w14:paraId="4F04C24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16</w:t>
            </w:r>
          </w:p>
        </w:tc>
        <w:tc>
          <w:tcPr>
            <w:tcW w:w="1263" w:type="dxa"/>
          </w:tcPr>
          <w:p w14:paraId="049DABF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r>
      <w:tr w:rsidR="00703566" w:rsidRPr="00703566" w14:paraId="2FA78630" w14:textId="77777777" w:rsidTr="008A6F48">
        <w:tc>
          <w:tcPr>
            <w:tcW w:w="1438" w:type="dxa"/>
          </w:tcPr>
          <w:p w14:paraId="6FBECF7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Junk or fried foods</w:t>
            </w:r>
          </w:p>
        </w:tc>
        <w:tc>
          <w:tcPr>
            <w:tcW w:w="1238" w:type="dxa"/>
          </w:tcPr>
          <w:p w14:paraId="062B34F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w:t>
            </w:r>
          </w:p>
        </w:tc>
        <w:tc>
          <w:tcPr>
            <w:tcW w:w="1448" w:type="dxa"/>
          </w:tcPr>
          <w:p w14:paraId="429BF56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w:t>
            </w:r>
          </w:p>
        </w:tc>
        <w:tc>
          <w:tcPr>
            <w:tcW w:w="1253" w:type="dxa"/>
          </w:tcPr>
          <w:p w14:paraId="7422F63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6</w:t>
            </w:r>
          </w:p>
        </w:tc>
        <w:tc>
          <w:tcPr>
            <w:tcW w:w="1501" w:type="dxa"/>
          </w:tcPr>
          <w:p w14:paraId="7C4C8ED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14</w:t>
            </w:r>
          </w:p>
        </w:tc>
        <w:tc>
          <w:tcPr>
            <w:tcW w:w="1263" w:type="dxa"/>
          </w:tcPr>
          <w:p w14:paraId="2010DFD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78</w:t>
            </w:r>
          </w:p>
          <w:p w14:paraId="4268202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p>
        </w:tc>
      </w:tr>
      <w:bookmarkEnd w:id="25"/>
    </w:tbl>
    <w:p w14:paraId="48D3B47B"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7CBFB2BD"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lastRenderedPageBreak/>
        <w:t xml:space="preserve">One of the deciding factors in the development of chronic diseases is dietary consumption. It is a difficult value to quantify, unlike other behaviours, since people are rarely able to discriminate precisely what and how much they eat. Furthermore, an erroneous dietary evaluation may be a significant roadblock in determining the effect on the risk of developing diet-related diseases. Nowadays, food frequency questionnaires (FFQ) are used to assess dietary intakes. Since they are inexpensive, simple to produce, and provide valuable information on dietary intake over a long period of time. FFQs are the most widely used tools in nutritional epidemiology studies. This method can also be used to perform one-on-one interviews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{"citationItems":[{"id":"ITEM-1","itemData":{"DOI":"10.1186/s41043-019-0199-8","ISSN":"20721315","PMID":"31856919","abstract":"Background: Food frequency questionnaires (FFQs) are dietary surveys widely used in studies of nutritional epidemiology because they are inexpensive, easy to complete and provide significant information on dietary intake over a long period of time. FFQs should be written specifically for each study group since diet may be influenced by ethnicity, culture, economic status and environmental factors. The aim of the authors on this work was to design and validate a food frequency questionnaire for the Peruvian Amazon population. Methods: Three hundred three individuals were selected and completed three 24-h recalls (R24). Two FFQs were conducted on two different occasions (FFQ.1 and FFQ.2). The validity of the FFQ was evaluated by comparing the relationship between the average daily nutrient intake estimated by the FFQs and that obtained by the three R24. The reproducibility was measured by comparing the mean nutrient intake of the two FFQs carried out. The correlations were assessed using the Pearson correlation coefficient, the intraclass correlation coefficient (ICC), the Lin correlation coefficient (CCC) and the Bland-Altman plot. Results: The results obtained to establish the validity showed a high correlation, with an average Pearson's correlation coefficient of 0.70, a CCI of 0.65 and a CCC of 0.60. Approximately 60% of the nutrients had a CCC above 0.60. In terms of reproducibility, better results were obtained, with an average Pearson's correlation coefficient of 0.67, 0.64 for CCI and 0.58 for CCC. Conclusions: The correlation coefficients show good validity and reproducibility, and therefore, the FFQ we have developed may be considered a useful and valid tool to estimate the dietary intake of the Peruvian Amazon population.","author":[{"dropping-particle":"","family":"Garciá Rodríguez","given":"Mariá","non-dropping-particle":"","parse-names":false,"suffix":""},{"dropping-particle":"","family":"Romero Saldanã","given":"Manuel","non-dropping-particle":"","parse-names":false,"suffix":""},{"dropping-particle":"","family":"Alcaide Leyva","given":"José Manuel","non-dropping-particle":"","parse-names":false,"suffix":""},{"dropping-particle":"","family":"Moreno Rojas","given":"Rafael","non-dropping-particle":"","parse-names":false,"suffix":""},{"dropping-particle":"","family":"Molina Recio","given":"Guillermo","non-dropping-particle":"","parse-names":false,"suffix":""}],"container-title":"Journal of Health, Population and Nutrition","id":"ITEM-1","issue":"1","issued":{"date-parts":[["2019","12","19"]]},"page":"47","publisher":"BioMed Central Ltd.","title":"Design and validation of a food frequency questionnaire (FFQ) for the nutritional evaluation of food intake in the Peruvian Amazon","type":"article-journal","volume":"38"},"uris":["http://www.mendeley.com/documents/?uuid=328905ac-8bdc-3030-81f5-cca35fc238ad"]}],"mendeley":{"formattedCitation":"(Garciá Rodríguez et al., 2019)","plainTextFormattedCitation":"(Garciá Rodríguez et al., 2019)","previouslyFormattedCitation":"(Garciá Rodríguez et al., 2019)"},"properties":{"noteIndex":0},"schema":"https://github.com/citation-style-language/schema/raw/master/csl-citation.json"}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(Garciá Rodríguez et al., 2019)</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6138F79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Table 13</w:t>
      </w:r>
      <w:r w:rsidRPr="00703566">
        <w:rPr>
          <w:rFonts w:ascii="Times New Roman" w:eastAsia="Calibri" w:hAnsi="Times New Roman" w:cs="Times New Roman"/>
          <w:sz w:val="24"/>
          <w:szCs w:val="24"/>
        </w:rPr>
        <w:t xml:space="preserve"> represent </w:t>
      </w:r>
      <w:bookmarkStart w:id="26" w:name="_Hlk68597381"/>
      <w:r w:rsidRPr="00703566">
        <w:rPr>
          <w:rFonts w:ascii="Times New Roman" w:eastAsia="Calibri" w:hAnsi="Times New Roman" w:cs="Times New Roman"/>
          <w:sz w:val="24"/>
          <w:szCs w:val="24"/>
        </w:rPr>
        <w:t xml:space="preserve">dietary information of the samples during corona virus infection. 100% of the people consume cereals and millets daily. Majority (79%) consume pulses and legumes daily </w:t>
      </w:r>
      <w:bookmarkEnd w:id="26"/>
      <w:r w:rsidRPr="00703566">
        <w:rPr>
          <w:rFonts w:ascii="Times New Roman" w:eastAsia="Calibri" w:hAnsi="Times New Roman" w:cs="Times New Roman"/>
          <w:sz w:val="24"/>
          <w:szCs w:val="24"/>
        </w:rPr>
        <w:t xml:space="preserve">because during COVID-19 pandemic the samples were provided free rations and kits, while 10 per cent were consuming 3 to 4 times per week and 11 per cent 1 to 2 times per week. The intake of junk or fried foods were found to be very less on the target group during lockdown. Majority of the samples were found to consume vegetables, green leafy vegetables daily and consumption of fruits was 1 to 2 times per week. The intake of fish and meat was found to be low as they were restricted from stepping out of homes. The purchasing capacity was decreased during the pandemic. </w:t>
      </w:r>
    </w:p>
    <w:p w14:paraId="61804515"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ab/>
        <w:t xml:space="preserve">Maintaining a healthy and diverse diet, as well as regular physical activity, may be discouraged by this new condition. Limited access to daily grocery shopping, for example, may lead to a shift away from fresh foods like fruit, vegetables, and fish in favour of highly processed foods like convenience foods, junk foods, snacks, and ready-to-eat cereals, all of which are high in fats, sodium, and sugar. Thus, psychological and emotional reactions to the COVID-19 outbreak may contribute to the risk of developing disordered eating habits. It is </w:t>
      </w:r>
      <w:r w:rsidRPr="00703566">
        <w:rPr>
          <w:rFonts w:ascii="Times New Roman" w:eastAsia="Calibri" w:hAnsi="Times New Roman" w:cs="Times New Roman"/>
          <w:sz w:val="24"/>
          <w:szCs w:val="24"/>
        </w:rPr>
        <w:lastRenderedPageBreak/>
        <w:t xml:space="preserve">well understood that negative feelings or hopeless feeling and fear about pandemic can alter the dietary habit of the people </w:t>
      </w:r>
      <w:r w:rsidRPr="00703566">
        <w:rPr>
          <w:rFonts w:ascii="Times New Roman" w:eastAsia="Calibri" w:hAnsi="Times New Roman" w:cs="Times New Roman"/>
          <w:sz w:val="24"/>
          <w:szCs w:val="24"/>
        </w:rPr>
        <w:fldChar w:fldCharType="begin" w:fldLock="1"/>
      </w:r>
      <w:r w:rsidRPr="00703566">
        <w:rPr>
          <w:rFonts w:ascii="Times New Roman" w:eastAsia="Calibri" w:hAnsi="Times New Roman" w:cs="Times New Roman"/>
          <w:sz w:val="24"/>
          <w:szCs w:val="24"/>
        </w:rPr>
        <w:instrText>ADDIN CSL_CITATION {"citationItems":[{"id":"ITEM-1","itemData":{"DOI":"10.1186/s12967-020-02399-5","ISSN":"14795876","PMID":"32513197","abstract":"Background: On December 12th 2019, a new coronavirus (SARS-Cov2) emerged in Wuhan, China, sparking a pandemic of acute respiratory syndrome in humans (COVID-19). On the 24th of April 2020, the number of COVID-19 deaths in the world, according to the COVID-Case Tracker by Johns Hopkins University, was 195,313, and the number of COVID-19 confirmed cases was 2,783,512. The COVID-19 pandemic represents a massive impact on human health, causing sudden lifestyle changes, through social distancing and isolation at home, with social and economic consequences. Optimizing public health during this pandemic requires not only knowledge from the medical and biological sciences, but also of all human sciences related to lifestyle, social and behavioural studies, including dietary habits and lifestyle. Methods: Our study aimed to investigate the immediate impact of the COVID-19 pandemic on eating habits and lifestyle changes among the Italian population aged ≥ 12 years. The study comprised a structured questionnaire packet that inquired demographic information (age, gender, place of residence, current employment); anthropometric data (reported weight and height); dietary habits information (adherence to the Mediterranean diet, daily intake of certain foods, food frequency, and number of meals/day); lifestyle habits information (grocery shopping, habit of smoking, sleep quality and physical activity). The survey was conducted from the 5th to the 24th of April 2020. Results: A total of 3533 respondents have been included in the study, aged between 12 and 86 years (76.1% females). The perception of weight gain was observed in 48.6% of the population; 3.3% of smokers decided to quit smoking; a slight increased physical activity has been reported, especially for bodyweight training, in 38.3% of respondents; the population group aged 18-30 years resulted in having a higher adherence to the Mediterranean diet when compared to the younger and the elderly population (p &lt; 0.001; p &lt; 0.001, respectively); 15% of respondents turned to farmers or organic, purchasing fruits and vegetables, especially in the North and Center of Italy, where BMI values were lower. Conclusions: In this study, we have provided for the first time data on the Italian population lifestyle, eating habits and adherence to the Mediterranean Diet pattern during the COVID-19 lockdown. However, as the COVID-19 pandemic is ongoing, our data need to be confirmed and investigated in future more extensive populatio…","author":[{"dropping-particle":"","family":"Renzo","given":"Laura","non-dropping-particle":"Di","parse-names":false,"suffix":""},{"dropping-particle":"","family":"Gualtieri","given":"Paola","non-dropping-particle":"","parse-names":false,"suffix":""},{"dropping-particle":"","family":"Pivari","given":"Francesca","non-dropping-particle":"","parse-names":false,"suffix":""},{"dropping-particle":"","family":"Soldati","given":"Laura","non-dropping-particle":"","parse-names":false,"suffix":""},{"dropping-particle":"","family":"Attinà","given":"Alda","non-dropping-particle":"","parse-names":false,"suffix":""},{"dropping-particle":"","family":"Cinelli","given":"Giulia","non-dropping-particle":"","parse-names":false,"suffix":""},{"dropping-particle":"","family":"Cinelli","given":"Giulia","non-dropping-particle":"","parse-names":false,"suffix":""},{"dropping-particle":"","family":"Leggeri","given":"Claudia","non-dropping-particle":"","parse-names":false,"suffix":""},{"dropping-particle":"","family":"Caparello","given":"Giovanna","non-dropping-particle":"","parse-names":false,"suffix":""},{"dropping-particle":"","family":"Barrea","given":"Luigi","non-dropping-particle":"","parse-names":false,"suffix":""},{"dropping-particle":"","family":"Scerbo","given":"Francesco","non-dropping-particle":"","parse-names":false,"suffix":""},{"dropping-particle":"","family":"Esposito","given":"Ernesto","non-dropping-particle":"","parse-names":false,"suffix":""},{"dropping-particle":"","family":"Lorenzo","given":"Antonino","non-dropping-particle":"De","parse-names":false,"suffix":""}],"container-title":"Journal of Translational Medicine","id":"ITEM-1","issue":"1","issued":{"date-parts":[["2020","6","8"]]},"page":"229","publisher":"BioMed Central Ltd.","title":"Eating habits and lifestyle changes during COVID-19 lockdown: An Italian survey","type":"article-journal","volume":"18"},"uris":["http://www.mendeley.com/documents/?uuid=bb6e3c5d-e365-3b20-a694-87029f3ceb83"]}],"mendeley":{"formattedCitation":"(Di Renzo et al., 2020)","plainTextFormattedCitation":"(Di Renzo et al., 2020)","previouslyFormattedCitation":"(Di Renzo et al., 2020)"},"properties":{"noteIndex":0},"schema":"https://github.com/citation-style-language/schema/raw/master/csl-citation.json"}</w:instrText>
      </w:r>
      <w:r w:rsidRPr="00703566">
        <w:rPr>
          <w:rFonts w:ascii="Times New Roman" w:eastAsia="Calibri" w:hAnsi="Times New Roman" w:cs="Times New Roman"/>
          <w:sz w:val="24"/>
          <w:szCs w:val="24"/>
        </w:rPr>
        <w:fldChar w:fldCharType="separate"/>
      </w:r>
      <w:r w:rsidRPr="00703566">
        <w:rPr>
          <w:rFonts w:ascii="Times New Roman" w:eastAsia="Calibri" w:hAnsi="Times New Roman" w:cs="Times New Roman"/>
          <w:noProof/>
          <w:sz w:val="24"/>
          <w:szCs w:val="24"/>
        </w:rPr>
        <w:t>(Di Renzo et al., 2020)</w:t>
      </w:r>
      <w:r w:rsidRPr="00703566">
        <w:rPr>
          <w:rFonts w:ascii="Times New Roman" w:eastAsia="Calibri" w:hAnsi="Times New Roman" w:cs="Times New Roman"/>
          <w:sz w:val="24"/>
          <w:szCs w:val="24"/>
        </w:rPr>
        <w:fldChar w:fldCharType="end"/>
      </w:r>
      <w:r w:rsidRPr="00703566">
        <w:rPr>
          <w:rFonts w:ascii="Times New Roman" w:eastAsia="Calibri" w:hAnsi="Times New Roman" w:cs="Times New Roman"/>
          <w:sz w:val="24"/>
          <w:szCs w:val="24"/>
        </w:rPr>
        <w:t>.</w:t>
      </w:r>
    </w:p>
    <w:p w14:paraId="10E72AEC" w14:textId="77777777" w:rsidR="00703566" w:rsidRPr="00703566" w:rsidRDefault="00703566" w:rsidP="00703566">
      <w:pPr>
        <w:spacing w:line="480" w:lineRule="auto"/>
        <w:ind w:left="2880" w:firstLine="720"/>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Table 14 </w:t>
      </w:r>
    </w:p>
    <w:p w14:paraId="0F664F9E"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4.6.8 Dietary Intake of Samples After COVID 19 Pandemic</w:t>
      </w:r>
    </w:p>
    <w:tbl>
      <w:tblPr>
        <w:tblStyle w:val="TableGrid2"/>
        <w:tblW w:w="0" w:type="auto"/>
        <w:tblLook w:val="04A0" w:firstRow="1" w:lastRow="0" w:firstColumn="1" w:lastColumn="0" w:noHBand="0" w:noVBand="1"/>
      </w:tblPr>
      <w:tblGrid>
        <w:gridCol w:w="1502"/>
        <w:gridCol w:w="1502"/>
        <w:gridCol w:w="1503"/>
        <w:gridCol w:w="1503"/>
        <w:gridCol w:w="1503"/>
        <w:gridCol w:w="1503"/>
      </w:tblGrid>
      <w:tr w:rsidR="00703566" w:rsidRPr="00703566" w14:paraId="5F123E9A" w14:textId="77777777" w:rsidTr="008A6F48">
        <w:tc>
          <w:tcPr>
            <w:tcW w:w="1502" w:type="dxa"/>
          </w:tcPr>
          <w:p w14:paraId="6309167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Food groups</w:t>
            </w:r>
          </w:p>
        </w:tc>
        <w:tc>
          <w:tcPr>
            <w:tcW w:w="1502" w:type="dxa"/>
          </w:tcPr>
          <w:p w14:paraId="6EB0E58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Daily </w:t>
            </w:r>
          </w:p>
        </w:tc>
        <w:tc>
          <w:tcPr>
            <w:tcW w:w="1503" w:type="dxa"/>
          </w:tcPr>
          <w:p w14:paraId="136201E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3-4 times/week</w:t>
            </w:r>
          </w:p>
        </w:tc>
        <w:tc>
          <w:tcPr>
            <w:tcW w:w="1503" w:type="dxa"/>
          </w:tcPr>
          <w:p w14:paraId="31F0961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 – 2 times /week</w:t>
            </w:r>
          </w:p>
        </w:tc>
        <w:tc>
          <w:tcPr>
            <w:tcW w:w="1503" w:type="dxa"/>
          </w:tcPr>
          <w:p w14:paraId="75BA1A7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1 -3 times/month</w:t>
            </w:r>
          </w:p>
        </w:tc>
        <w:tc>
          <w:tcPr>
            <w:tcW w:w="1503" w:type="dxa"/>
          </w:tcPr>
          <w:p w14:paraId="7F97011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Never </w:t>
            </w:r>
          </w:p>
        </w:tc>
      </w:tr>
      <w:tr w:rsidR="00703566" w:rsidRPr="00703566" w14:paraId="57CA0546" w14:textId="77777777" w:rsidTr="008A6F48">
        <w:tc>
          <w:tcPr>
            <w:tcW w:w="1502" w:type="dxa"/>
          </w:tcPr>
          <w:p w14:paraId="59F8730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Cereals and millets</w:t>
            </w:r>
          </w:p>
        </w:tc>
        <w:tc>
          <w:tcPr>
            <w:tcW w:w="1502" w:type="dxa"/>
          </w:tcPr>
          <w:p w14:paraId="2B61F8F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100</w:t>
            </w:r>
          </w:p>
        </w:tc>
        <w:tc>
          <w:tcPr>
            <w:tcW w:w="1503" w:type="dxa"/>
          </w:tcPr>
          <w:p w14:paraId="6899B7C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503" w:type="dxa"/>
          </w:tcPr>
          <w:p w14:paraId="6C2C647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503" w:type="dxa"/>
          </w:tcPr>
          <w:p w14:paraId="7E184B1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503" w:type="dxa"/>
          </w:tcPr>
          <w:p w14:paraId="0506251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0167C7E8" w14:textId="77777777" w:rsidTr="008A6F48">
        <w:tc>
          <w:tcPr>
            <w:tcW w:w="1502" w:type="dxa"/>
          </w:tcPr>
          <w:p w14:paraId="7C393C6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Pulses and legumes</w:t>
            </w:r>
          </w:p>
        </w:tc>
        <w:tc>
          <w:tcPr>
            <w:tcW w:w="1502" w:type="dxa"/>
          </w:tcPr>
          <w:p w14:paraId="3ACFEDF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65</w:t>
            </w:r>
          </w:p>
        </w:tc>
        <w:tc>
          <w:tcPr>
            <w:tcW w:w="1503" w:type="dxa"/>
          </w:tcPr>
          <w:p w14:paraId="55E860B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21</w:t>
            </w:r>
          </w:p>
        </w:tc>
        <w:tc>
          <w:tcPr>
            <w:tcW w:w="1503" w:type="dxa"/>
          </w:tcPr>
          <w:p w14:paraId="4ED3135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14</w:t>
            </w:r>
          </w:p>
        </w:tc>
        <w:tc>
          <w:tcPr>
            <w:tcW w:w="1503" w:type="dxa"/>
          </w:tcPr>
          <w:p w14:paraId="129AAA2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503" w:type="dxa"/>
          </w:tcPr>
          <w:p w14:paraId="527F86E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119DD0BD" w14:textId="77777777" w:rsidTr="008A6F48">
        <w:tc>
          <w:tcPr>
            <w:tcW w:w="1502" w:type="dxa"/>
          </w:tcPr>
          <w:p w14:paraId="056CBD4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Egg </w:t>
            </w:r>
          </w:p>
        </w:tc>
        <w:tc>
          <w:tcPr>
            <w:tcW w:w="1502" w:type="dxa"/>
          </w:tcPr>
          <w:p w14:paraId="37A6879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23</w:t>
            </w:r>
          </w:p>
        </w:tc>
        <w:tc>
          <w:tcPr>
            <w:tcW w:w="1503" w:type="dxa"/>
          </w:tcPr>
          <w:p w14:paraId="0AAC8AA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20</w:t>
            </w:r>
          </w:p>
        </w:tc>
        <w:tc>
          <w:tcPr>
            <w:tcW w:w="1503" w:type="dxa"/>
          </w:tcPr>
          <w:p w14:paraId="1850C8C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38</w:t>
            </w:r>
          </w:p>
        </w:tc>
        <w:tc>
          <w:tcPr>
            <w:tcW w:w="1503" w:type="dxa"/>
          </w:tcPr>
          <w:p w14:paraId="6E32F0B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w:t>
            </w:r>
          </w:p>
        </w:tc>
        <w:tc>
          <w:tcPr>
            <w:tcW w:w="1503" w:type="dxa"/>
          </w:tcPr>
          <w:p w14:paraId="3348F9A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31731292" w14:textId="77777777" w:rsidTr="008A6F48">
        <w:tc>
          <w:tcPr>
            <w:tcW w:w="1502" w:type="dxa"/>
          </w:tcPr>
          <w:p w14:paraId="6E5D9310"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Fish</w:t>
            </w:r>
          </w:p>
        </w:tc>
        <w:tc>
          <w:tcPr>
            <w:tcW w:w="1502" w:type="dxa"/>
          </w:tcPr>
          <w:p w14:paraId="16DFB3B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96</w:t>
            </w:r>
          </w:p>
        </w:tc>
        <w:tc>
          <w:tcPr>
            <w:tcW w:w="1503" w:type="dxa"/>
          </w:tcPr>
          <w:p w14:paraId="1EFD4FE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c>
          <w:tcPr>
            <w:tcW w:w="1503" w:type="dxa"/>
          </w:tcPr>
          <w:p w14:paraId="76EF89D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w:t>
            </w:r>
          </w:p>
        </w:tc>
        <w:tc>
          <w:tcPr>
            <w:tcW w:w="1503" w:type="dxa"/>
          </w:tcPr>
          <w:p w14:paraId="5E87E20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503" w:type="dxa"/>
          </w:tcPr>
          <w:p w14:paraId="1DF7408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25671500" w14:textId="77777777" w:rsidTr="008A6F48">
        <w:tc>
          <w:tcPr>
            <w:tcW w:w="1502" w:type="dxa"/>
          </w:tcPr>
          <w:p w14:paraId="269C463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Meat </w:t>
            </w:r>
          </w:p>
        </w:tc>
        <w:tc>
          <w:tcPr>
            <w:tcW w:w="1502" w:type="dxa"/>
          </w:tcPr>
          <w:p w14:paraId="543EFB1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p>
        </w:tc>
        <w:tc>
          <w:tcPr>
            <w:tcW w:w="1503" w:type="dxa"/>
          </w:tcPr>
          <w:p w14:paraId="0F33309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28</w:t>
            </w:r>
          </w:p>
        </w:tc>
        <w:tc>
          <w:tcPr>
            <w:tcW w:w="1503" w:type="dxa"/>
          </w:tcPr>
          <w:p w14:paraId="39DAFFA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32</w:t>
            </w:r>
          </w:p>
        </w:tc>
        <w:tc>
          <w:tcPr>
            <w:tcW w:w="1503" w:type="dxa"/>
          </w:tcPr>
          <w:p w14:paraId="218E360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17</w:t>
            </w:r>
          </w:p>
        </w:tc>
        <w:tc>
          <w:tcPr>
            <w:tcW w:w="1503" w:type="dxa"/>
          </w:tcPr>
          <w:p w14:paraId="67BBA99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24</w:t>
            </w:r>
          </w:p>
        </w:tc>
      </w:tr>
      <w:tr w:rsidR="00703566" w:rsidRPr="00703566" w14:paraId="1D04FF27" w14:textId="77777777" w:rsidTr="008A6F48">
        <w:tc>
          <w:tcPr>
            <w:tcW w:w="1502" w:type="dxa"/>
          </w:tcPr>
          <w:p w14:paraId="7E9D6B7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Milk and milk products</w:t>
            </w:r>
          </w:p>
        </w:tc>
        <w:tc>
          <w:tcPr>
            <w:tcW w:w="1502" w:type="dxa"/>
          </w:tcPr>
          <w:p w14:paraId="7831164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73</w:t>
            </w:r>
          </w:p>
        </w:tc>
        <w:tc>
          <w:tcPr>
            <w:tcW w:w="1503" w:type="dxa"/>
          </w:tcPr>
          <w:p w14:paraId="0E30EF2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c>
          <w:tcPr>
            <w:tcW w:w="1503" w:type="dxa"/>
          </w:tcPr>
          <w:p w14:paraId="0654402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13</w:t>
            </w:r>
          </w:p>
        </w:tc>
        <w:tc>
          <w:tcPr>
            <w:tcW w:w="1503" w:type="dxa"/>
          </w:tcPr>
          <w:p w14:paraId="692EEC5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c>
          <w:tcPr>
            <w:tcW w:w="1503" w:type="dxa"/>
          </w:tcPr>
          <w:p w14:paraId="482DB85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w:t>
            </w:r>
          </w:p>
        </w:tc>
      </w:tr>
      <w:tr w:rsidR="00703566" w:rsidRPr="00703566" w14:paraId="29AC9034" w14:textId="77777777" w:rsidTr="008A6F48">
        <w:tc>
          <w:tcPr>
            <w:tcW w:w="1502" w:type="dxa"/>
          </w:tcPr>
          <w:p w14:paraId="63BD3B1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Vegetables</w:t>
            </w:r>
          </w:p>
        </w:tc>
        <w:tc>
          <w:tcPr>
            <w:tcW w:w="1502" w:type="dxa"/>
          </w:tcPr>
          <w:p w14:paraId="6D906C2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70</w:t>
            </w:r>
          </w:p>
        </w:tc>
        <w:tc>
          <w:tcPr>
            <w:tcW w:w="1503" w:type="dxa"/>
          </w:tcPr>
          <w:p w14:paraId="5891A74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23</w:t>
            </w:r>
          </w:p>
        </w:tc>
        <w:tc>
          <w:tcPr>
            <w:tcW w:w="1503" w:type="dxa"/>
          </w:tcPr>
          <w:p w14:paraId="66CB0E8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w:t>
            </w:r>
          </w:p>
        </w:tc>
        <w:tc>
          <w:tcPr>
            <w:tcW w:w="1503" w:type="dxa"/>
          </w:tcPr>
          <w:p w14:paraId="16FA4D8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c>
          <w:tcPr>
            <w:tcW w:w="1503" w:type="dxa"/>
          </w:tcPr>
          <w:p w14:paraId="1B7D1C1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01EBBD26" w14:textId="77777777" w:rsidTr="008A6F48">
        <w:tc>
          <w:tcPr>
            <w:tcW w:w="1502" w:type="dxa"/>
          </w:tcPr>
          <w:p w14:paraId="5C24E48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Leafy vegetables</w:t>
            </w:r>
          </w:p>
        </w:tc>
        <w:tc>
          <w:tcPr>
            <w:tcW w:w="1502" w:type="dxa"/>
          </w:tcPr>
          <w:p w14:paraId="0E60978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56</w:t>
            </w:r>
          </w:p>
        </w:tc>
        <w:tc>
          <w:tcPr>
            <w:tcW w:w="1503" w:type="dxa"/>
          </w:tcPr>
          <w:p w14:paraId="2AA26A5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21</w:t>
            </w:r>
          </w:p>
        </w:tc>
        <w:tc>
          <w:tcPr>
            <w:tcW w:w="1503" w:type="dxa"/>
          </w:tcPr>
          <w:p w14:paraId="33D56F7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20</w:t>
            </w:r>
          </w:p>
        </w:tc>
        <w:tc>
          <w:tcPr>
            <w:tcW w:w="1503" w:type="dxa"/>
          </w:tcPr>
          <w:p w14:paraId="1E21A0A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c>
          <w:tcPr>
            <w:tcW w:w="1503" w:type="dxa"/>
          </w:tcPr>
          <w:p w14:paraId="0B1D665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t>
            </w:r>
          </w:p>
        </w:tc>
      </w:tr>
      <w:tr w:rsidR="00703566" w:rsidRPr="00703566" w14:paraId="16F1F3B7" w14:textId="77777777" w:rsidTr="008A6F48">
        <w:tc>
          <w:tcPr>
            <w:tcW w:w="1502" w:type="dxa"/>
          </w:tcPr>
          <w:p w14:paraId="4BC40E5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Fruits </w:t>
            </w:r>
          </w:p>
        </w:tc>
        <w:tc>
          <w:tcPr>
            <w:tcW w:w="1502" w:type="dxa"/>
          </w:tcPr>
          <w:p w14:paraId="3B6791B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23</w:t>
            </w:r>
          </w:p>
        </w:tc>
        <w:tc>
          <w:tcPr>
            <w:tcW w:w="1503" w:type="dxa"/>
          </w:tcPr>
          <w:p w14:paraId="0F4D6C4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22</w:t>
            </w:r>
          </w:p>
        </w:tc>
        <w:tc>
          <w:tcPr>
            <w:tcW w:w="1503" w:type="dxa"/>
          </w:tcPr>
          <w:p w14:paraId="28408B8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35</w:t>
            </w:r>
          </w:p>
        </w:tc>
        <w:tc>
          <w:tcPr>
            <w:tcW w:w="1503" w:type="dxa"/>
          </w:tcPr>
          <w:p w14:paraId="4F34C34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15</w:t>
            </w:r>
          </w:p>
        </w:tc>
        <w:tc>
          <w:tcPr>
            <w:tcW w:w="1503" w:type="dxa"/>
          </w:tcPr>
          <w:p w14:paraId="36347ED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w:t>
            </w:r>
          </w:p>
        </w:tc>
      </w:tr>
      <w:tr w:rsidR="00703566" w:rsidRPr="00703566" w14:paraId="4AFC0E7C" w14:textId="77777777" w:rsidTr="008A6F48">
        <w:tc>
          <w:tcPr>
            <w:tcW w:w="1502" w:type="dxa"/>
          </w:tcPr>
          <w:p w14:paraId="5B1F7A8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Junk or fried foods</w:t>
            </w:r>
          </w:p>
        </w:tc>
        <w:tc>
          <w:tcPr>
            <w:tcW w:w="1502" w:type="dxa"/>
          </w:tcPr>
          <w:p w14:paraId="61ABD4EC"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p>
        </w:tc>
        <w:tc>
          <w:tcPr>
            <w:tcW w:w="1503" w:type="dxa"/>
          </w:tcPr>
          <w:p w14:paraId="181439B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w:t>
            </w:r>
          </w:p>
        </w:tc>
        <w:tc>
          <w:tcPr>
            <w:tcW w:w="1503" w:type="dxa"/>
          </w:tcPr>
          <w:p w14:paraId="5AF66B4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9</w:t>
            </w:r>
          </w:p>
        </w:tc>
        <w:tc>
          <w:tcPr>
            <w:tcW w:w="1503" w:type="dxa"/>
          </w:tcPr>
          <w:p w14:paraId="3A7F830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c>
          <w:tcPr>
            <w:tcW w:w="1503" w:type="dxa"/>
          </w:tcPr>
          <w:p w14:paraId="48D2686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80</w:t>
            </w:r>
          </w:p>
        </w:tc>
      </w:tr>
    </w:tbl>
    <w:p w14:paraId="42C4876F"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088C85B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Table 14</w:t>
      </w:r>
      <w:r w:rsidRPr="00703566">
        <w:rPr>
          <w:rFonts w:ascii="Times New Roman" w:eastAsia="Calibri" w:hAnsi="Times New Roman" w:cs="Times New Roman"/>
          <w:sz w:val="24"/>
          <w:szCs w:val="24"/>
        </w:rPr>
        <w:t xml:space="preserve"> represent dietary intake after COVID -19 infection. 100 percent of the people consume cereals and millets daily.  </w:t>
      </w:r>
      <w:bookmarkStart w:id="27" w:name="_Hlk68597683"/>
      <w:r w:rsidRPr="00703566">
        <w:rPr>
          <w:rFonts w:ascii="Times New Roman" w:eastAsia="Calibri" w:hAnsi="Times New Roman" w:cs="Times New Roman"/>
          <w:sz w:val="24"/>
          <w:szCs w:val="24"/>
        </w:rPr>
        <w:t>Majority of the people about 96 per cent of people consume fish daily, because selected area for study is fishing village, so the availability of the fish is more. 76% of the people consume milk and milk products daily</w:t>
      </w:r>
      <w:bookmarkStart w:id="28" w:name="_Hlk68597746"/>
      <w:bookmarkEnd w:id="27"/>
      <w:r w:rsidRPr="00703566">
        <w:rPr>
          <w:rFonts w:ascii="Times New Roman" w:eastAsia="Calibri" w:hAnsi="Times New Roman" w:cs="Times New Roman"/>
          <w:sz w:val="24"/>
          <w:szCs w:val="24"/>
        </w:rPr>
        <w:t xml:space="preserve">. While compared to food consumption during COVID -19, daily consumption of vegetables (70%), leafy vegetables </w:t>
      </w:r>
      <w:r w:rsidRPr="00703566">
        <w:rPr>
          <w:rFonts w:ascii="Times New Roman" w:eastAsia="Calibri" w:hAnsi="Times New Roman" w:cs="Times New Roman"/>
          <w:sz w:val="24"/>
          <w:szCs w:val="24"/>
        </w:rPr>
        <w:lastRenderedPageBreak/>
        <w:t>(56%) and fruits (23%) were increased, because they were aware about immune boosting foods and their capacity to prevent infectious disease.</w:t>
      </w:r>
      <w:bookmarkEnd w:id="28"/>
      <w:r w:rsidRPr="00703566">
        <w:rPr>
          <w:rFonts w:ascii="Times New Roman" w:eastAsia="Calibri" w:hAnsi="Times New Roman" w:cs="Times New Roman"/>
          <w:sz w:val="24"/>
          <w:szCs w:val="24"/>
        </w:rPr>
        <w:t xml:space="preserve"> This pandemic period brought drastic changes in dietary habits of the people who live in coastal areas. </w:t>
      </w:r>
    </w:p>
    <w:p w14:paraId="11F38A64" w14:textId="77777777" w:rsidR="00703566" w:rsidRPr="00703566" w:rsidRDefault="00703566" w:rsidP="00703566">
      <w:pPr>
        <w:numPr>
          <w:ilvl w:val="1"/>
          <w:numId w:val="4"/>
        </w:numPr>
        <w:spacing w:line="480" w:lineRule="auto"/>
        <w:contextualSpacing/>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Psychological Information </w:t>
      </w:r>
    </w:p>
    <w:p w14:paraId="4710D2ED"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The fear and uncertainty of a pandemic will have a greater impact on the mental health of the elderly, who are more aware of their vulnerability. The fear of death is overshadowed by the existential fear of losing loved ones and the guilt of potentially being the severity of the disease. They may be unaware of updates related to the COVID-19 situation due to generational constraints and sensory and cognitive deficits, making them easy targets for misinformation and insufficient precautionary measures. The effects of the quarantine and physical illness can be contribute feelings of isolation, physical separation from loved ones, sadness, anxiety, and chronic stress, all of which can have long-term psychological consequences</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{"citationItems":[{"id":"ITEM-1","itemData":{"DOI":"10.1016/j.ajp.2020.102154","ISSN":"18762026","PMID":"32403024","author":[{"dropping-particle":"","family":"Banerjee","given":"Debanjan","non-dropping-particle":"","parse-names":false,"suffix":""}],"container-title":"Asian Journal of Psychiatry","id":"ITEM-1","issued":{"date-parts":[["2020","6","1"]]},"page":"102154","publisher":"Elsevier B.V.","title":"‘Age and ageism in COVID-19’: Elderly mental health-care vulnerabilities and needs","type":"article","volume":"51"},"uris":["http://www.mendeley.com/documents/?uuid=0d5a8e1b-cdaa-397f-942b-63d8d2d9cb7b"]}],"mendeley":{"formattedCitation":"(Banerjee, 2020)","plainTextFormattedCitation":"(Banerjee, 2020)","previouslyFormattedCitation":"(Banerjee, 2020)"},"properties":{"noteIndex":0},"schema":"https://github.com/citation-style-language/schema/raw/master/csl-citation.json"}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(Banerjee, 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According to preliminary research, the elderly </w:t>
      </w:r>
      <w:proofErr w:type="gramStart"/>
      <w:r w:rsidRPr="00703566">
        <w:rPr>
          <w:rFonts w:ascii="Times New Roman" w:eastAsia="Calibri" w:hAnsi="Times New Roman" w:cs="Times New Roman"/>
          <w:sz w:val="24"/>
          <w:szCs w:val="24"/>
          <w:lang w:val="en-US"/>
        </w:rPr>
        <w:t>have</w:t>
      </w:r>
      <w:proofErr w:type="gramEnd"/>
      <w:r w:rsidRPr="00703566">
        <w:rPr>
          <w:rFonts w:ascii="Times New Roman" w:eastAsia="Calibri" w:hAnsi="Times New Roman" w:cs="Times New Roman"/>
          <w:sz w:val="24"/>
          <w:szCs w:val="24"/>
          <w:lang w:val="en-US"/>
        </w:rPr>
        <w:t xml:space="preserve"> a higher prevalence of depressive disorders, complex post-traumatic stress disorder (PTSD), and adjustment reactions are increased in geriatric population during COVID – 19 pandemic. </w:t>
      </w:r>
    </w:p>
    <w:p w14:paraId="6B78BB91"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DASS tool was used to measure the psychological state of the samples. It comprises three factors viz; depression scale, anxiety scale and stress scale.</w:t>
      </w:r>
      <w:r w:rsidRPr="00703566">
        <w:rPr>
          <w:rFonts w:ascii="Times New Roman" w:eastAsia="Calibri" w:hAnsi="Times New Roman" w:cs="Times New Roman"/>
          <w:sz w:val="24"/>
          <w:szCs w:val="24"/>
        </w:rPr>
        <w:t xml:space="preserve"> </w:t>
      </w:r>
      <w:r w:rsidRPr="00703566">
        <w:rPr>
          <w:rFonts w:ascii="Times New Roman" w:eastAsia="Calibri" w:hAnsi="Times New Roman" w:cs="Times New Roman"/>
          <w:sz w:val="24"/>
          <w:szCs w:val="24"/>
          <w:lang w:val="en-US"/>
        </w:rPr>
        <w:t>The depression scale measures hopelessness, poor self-esteem, and low positive affection; the anxiety scale measures autonomic arousal, musculoskeletal symptoms, situational anxiety, and the subjective experience of anxious arousal; and the anxiety scale measures autonomic arousal, musculoskeletal symptoms, situational anxiety, and the subjective experience of anxious arousal; and the anxiety scale measures autonomic arousal, musculoskeletal symptoms and situational anxiety (Anibel et al., 2019).</w:t>
      </w:r>
    </w:p>
    <w:p w14:paraId="11C091FB"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p>
    <w:p w14:paraId="23ACF7AB"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p>
    <w:p w14:paraId="3DA6186A" w14:textId="77777777" w:rsidR="00703566" w:rsidRPr="00703566" w:rsidRDefault="00703566" w:rsidP="00703566">
      <w:p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lastRenderedPageBreak/>
        <w:t xml:space="preserve"> </w:t>
      </w:r>
    </w:p>
    <w:p w14:paraId="28036450" w14:textId="77777777" w:rsidR="00703566" w:rsidRPr="00703566" w:rsidRDefault="00703566" w:rsidP="00703566">
      <w:pPr>
        <w:spacing w:line="480" w:lineRule="auto"/>
        <w:ind w:left="2880"/>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         Table 12</w:t>
      </w:r>
    </w:p>
    <w:p w14:paraId="252C27AE"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roofErr w:type="gramStart"/>
      <w:r w:rsidRPr="00703566">
        <w:rPr>
          <w:rFonts w:ascii="Times New Roman" w:eastAsia="Calibri" w:hAnsi="Times New Roman" w:cs="Times New Roman"/>
          <w:b/>
          <w:bCs/>
          <w:sz w:val="24"/>
          <w:szCs w:val="24"/>
          <w:lang w:val="en-US"/>
        </w:rPr>
        <w:t>4.7.1  Stress</w:t>
      </w:r>
      <w:proofErr w:type="gramEnd"/>
      <w:r w:rsidRPr="00703566">
        <w:rPr>
          <w:rFonts w:ascii="Times New Roman" w:eastAsia="Calibri" w:hAnsi="Times New Roman" w:cs="Times New Roman"/>
          <w:b/>
          <w:bCs/>
          <w:sz w:val="24"/>
          <w:szCs w:val="24"/>
          <w:lang w:val="en-US"/>
        </w:rPr>
        <w:t xml:space="preserve"> Among Geriatric Population During COVID -19 Infection</w:t>
      </w:r>
    </w:p>
    <w:tbl>
      <w:tblPr>
        <w:tblStyle w:val="TableGrid2"/>
        <w:tblW w:w="9498" w:type="dxa"/>
        <w:tblInd w:w="-5" w:type="dxa"/>
        <w:tblLook w:val="04A0" w:firstRow="1" w:lastRow="0" w:firstColumn="1" w:lastColumn="0" w:noHBand="0" w:noVBand="1"/>
      </w:tblPr>
      <w:tblGrid>
        <w:gridCol w:w="2059"/>
        <w:gridCol w:w="2017"/>
        <w:gridCol w:w="1942"/>
        <w:gridCol w:w="2131"/>
        <w:gridCol w:w="1349"/>
      </w:tblGrid>
      <w:tr w:rsidR="00703566" w:rsidRPr="00703566" w14:paraId="6185A229" w14:textId="77777777" w:rsidTr="008A6F48">
        <w:trPr>
          <w:trHeight w:val="777"/>
        </w:trPr>
        <w:tc>
          <w:tcPr>
            <w:tcW w:w="2082" w:type="dxa"/>
          </w:tcPr>
          <w:p w14:paraId="29FB1727"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Stress </w:t>
            </w:r>
          </w:p>
        </w:tc>
        <w:tc>
          <w:tcPr>
            <w:tcW w:w="2038" w:type="dxa"/>
          </w:tcPr>
          <w:p w14:paraId="20B3FDF3"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Females </w:t>
            </w:r>
          </w:p>
        </w:tc>
        <w:tc>
          <w:tcPr>
            <w:tcW w:w="1967" w:type="dxa"/>
          </w:tcPr>
          <w:p w14:paraId="34221165"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Males </w:t>
            </w:r>
          </w:p>
        </w:tc>
        <w:tc>
          <w:tcPr>
            <w:tcW w:w="2161" w:type="dxa"/>
          </w:tcPr>
          <w:p w14:paraId="1A02196C"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Total </w:t>
            </w:r>
          </w:p>
        </w:tc>
        <w:tc>
          <w:tcPr>
            <w:tcW w:w="1250" w:type="dxa"/>
          </w:tcPr>
          <w:p w14:paraId="5D9613E2"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Percentage  </w:t>
            </w:r>
          </w:p>
        </w:tc>
      </w:tr>
      <w:tr w:rsidR="00703566" w:rsidRPr="00703566" w14:paraId="1FA175A7" w14:textId="77777777" w:rsidTr="008A6F48">
        <w:trPr>
          <w:trHeight w:val="762"/>
        </w:trPr>
        <w:tc>
          <w:tcPr>
            <w:tcW w:w="2082" w:type="dxa"/>
          </w:tcPr>
          <w:p w14:paraId="5EAAEFA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Extreme </w:t>
            </w:r>
          </w:p>
          <w:p w14:paraId="5EB90E6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*(14 -33)</w:t>
            </w:r>
          </w:p>
        </w:tc>
        <w:tc>
          <w:tcPr>
            <w:tcW w:w="2038" w:type="dxa"/>
          </w:tcPr>
          <w:p w14:paraId="7C6A170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34</w:t>
            </w:r>
          </w:p>
        </w:tc>
        <w:tc>
          <w:tcPr>
            <w:tcW w:w="1967" w:type="dxa"/>
          </w:tcPr>
          <w:p w14:paraId="0D02355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18</w:t>
            </w:r>
          </w:p>
        </w:tc>
        <w:tc>
          <w:tcPr>
            <w:tcW w:w="2161" w:type="dxa"/>
          </w:tcPr>
          <w:p w14:paraId="28C4533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52</w:t>
            </w:r>
          </w:p>
        </w:tc>
        <w:tc>
          <w:tcPr>
            <w:tcW w:w="1250" w:type="dxa"/>
          </w:tcPr>
          <w:p w14:paraId="0EBA642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52</w:t>
            </w:r>
          </w:p>
        </w:tc>
      </w:tr>
      <w:tr w:rsidR="00703566" w:rsidRPr="00703566" w14:paraId="45832AE2" w14:textId="77777777" w:rsidTr="008A6F48">
        <w:trPr>
          <w:trHeight w:val="777"/>
        </w:trPr>
        <w:tc>
          <w:tcPr>
            <w:tcW w:w="2082" w:type="dxa"/>
          </w:tcPr>
          <w:p w14:paraId="102B4BB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Normal </w:t>
            </w:r>
          </w:p>
          <w:p w14:paraId="68040F8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*(9 -13)</w:t>
            </w:r>
          </w:p>
        </w:tc>
        <w:tc>
          <w:tcPr>
            <w:tcW w:w="2038" w:type="dxa"/>
          </w:tcPr>
          <w:p w14:paraId="7ED4B7C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16</w:t>
            </w:r>
          </w:p>
        </w:tc>
        <w:tc>
          <w:tcPr>
            <w:tcW w:w="1967" w:type="dxa"/>
          </w:tcPr>
          <w:p w14:paraId="419A882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21</w:t>
            </w:r>
          </w:p>
        </w:tc>
        <w:tc>
          <w:tcPr>
            <w:tcW w:w="2161" w:type="dxa"/>
          </w:tcPr>
          <w:p w14:paraId="6065678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37</w:t>
            </w:r>
          </w:p>
        </w:tc>
        <w:tc>
          <w:tcPr>
            <w:tcW w:w="1250" w:type="dxa"/>
          </w:tcPr>
          <w:p w14:paraId="2D41847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37</w:t>
            </w:r>
          </w:p>
        </w:tc>
      </w:tr>
      <w:tr w:rsidR="00703566" w:rsidRPr="00703566" w14:paraId="49DD62F7" w14:textId="77777777" w:rsidTr="008A6F48">
        <w:trPr>
          <w:trHeight w:val="762"/>
        </w:trPr>
        <w:tc>
          <w:tcPr>
            <w:tcW w:w="2082" w:type="dxa"/>
          </w:tcPr>
          <w:p w14:paraId="54110AA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Very low</w:t>
            </w:r>
          </w:p>
          <w:p w14:paraId="2CD2676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*(0-9)</w:t>
            </w:r>
          </w:p>
        </w:tc>
        <w:tc>
          <w:tcPr>
            <w:tcW w:w="2038" w:type="dxa"/>
          </w:tcPr>
          <w:p w14:paraId="1ED4F5B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967" w:type="dxa"/>
          </w:tcPr>
          <w:p w14:paraId="6AE3428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c>
          <w:tcPr>
            <w:tcW w:w="2161" w:type="dxa"/>
          </w:tcPr>
          <w:p w14:paraId="2B7BEEB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c>
          <w:tcPr>
            <w:tcW w:w="1250" w:type="dxa"/>
          </w:tcPr>
          <w:p w14:paraId="4C829D6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11</w:t>
            </w:r>
          </w:p>
        </w:tc>
      </w:tr>
      <w:tr w:rsidR="00703566" w:rsidRPr="00703566" w14:paraId="2EEC5CE6" w14:textId="77777777" w:rsidTr="008A6F48">
        <w:trPr>
          <w:trHeight w:val="810"/>
        </w:trPr>
        <w:tc>
          <w:tcPr>
            <w:tcW w:w="2082" w:type="dxa"/>
          </w:tcPr>
          <w:p w14:paraId="4D2A82C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Total </w:t>
            </w:r>
          </w:p>
        </w:tc>
        <w:tc>
          <w:tcPr>
            <w:tcW w:w="2038" w:type="dxa"/>
          </w:tcPr>
          <w:p w14:paraId="72E91A4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50</w:t>
            </w:r>
          </w:p>
        </w:tc>
        <w:tc>
          <w:tcPr>
            <w:tcW w:w="1967" w:type="dxa"/>
          </w:tcPr>
          <w:p w14:paraId="73A3441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50</w:t>
            </w:r>
          </w:p>
        </w:tc>
        <w:tc>
          <w:tcPr>
            <w:tcW w:w="2161" w:type="dxa"/>
          </w:tcPr>
          <w:p w14:paraId="59789FF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100</w:t>
            </w:r>
          </w:p>
        </w:tc>
        <w:tc>
          <w:tcPr>
            <w:tcW w:w="1250" w:type="dxa"/>
          </w:tcPr>
          <w:p w14:paraId="039CBC3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100</w:t>
            </w:r>
          </w:p>
        </w:tc>
      </w:tr>
    </w:tbl>
    <w:p w14:paraId="3CB4A6C4" w14:textId="77777777" w:rsidR="00703566" w:rsidRPr="00703566" w:rsidRDefault="00703566" w:rsidP="00703566">
      <w:pPr>
        <w:spacing w:line="480" w:lineRule="auto"/>
        <w:jc w:val="both"/>
        <w:rPr>
          <w:rFonts w:ascii="Times New Roman" w:eastAsia="Calibri" w:hAnsi="Times New Roman" w:cs="Times New Roman"/>
          <w:b/>
          <w:bCs/>
          <w:sz w:val="20"/>
          <w:szCs w:val="20"/>
          <w:lang w:val="en-US"/>
        </w:rPr>
      </w:pPr>
      <w:r w:rsidRPr="00703566">
        <w:rPr>
          <w:rFonts w:ascii="Times New Roman" w:eastAsia="Calibri" w:hAnsi="Times New Roman" w:cs="Times New Roman"/>
          <w:b/>
          <w:bCs/>
          <w:sz w:val="20"/>
          <w:szCs w:val="20"/>
          <w:lang w:val="en-US"/>
        </w:rPr>
        <w:t>(</w:t>
      </w:r>
      <w:r w:rsidRPr="00703566">
        <w:rPr>
          <w:rFonts w:ascii="Times New Roman" w:eastAsia="Calibri" w:hAnsi="Times New Roman" w:cs="Times New Roman"/>
          <w:b/>
          <w:bCs/>
          <w:sz w:val="20"/>
          <w:szCs w:val="20"/>
        </w:rPr>
        <w:t xml:space="preserve">W = 345, p-value = 0.0002375. stress Vs </w:t>
      </w:r>
      <w:proofErr w:type="gramStart"/>
      <w:r w:rsidRPr="00703566">
        <w:rPr>
          <w:rFonts w:ascii="Times New Roman" w:eastAsia="Calibri" w:hAnsi="Times New Roman" w:cs="Times New Roman"/>
          <w:b/>
          <w:bCs/>
          <w:sz w:val="20"/>
          <w:szCs w:val="20"/>
        </w:rPr>
        <w:t xml:space="preserve">gender)   </w:t>
      </w:r>
      <w:proofErr w:type="gramEnd"/>
      <w:r w:rsidRPr="00703566">
        <w:rPr>
          <w:rFonts w:ascii="Times New Roman" w:eastAsia="Calibri" w:hAnsi="Times New Roman" w:cs="Times New Roman"/>
          <w:b/>
          <w:bCs/>
          <w:sz w:val="20"/>
          <w:szCs w:val="20"/>
        </w:rPr>
        <w:t xml:space="preserve">                              </w:t>
      </w:r>
      <w:r w:rsidRPr="00703566">
        <w:rPr>
          <w:rFonts w:ascii="Times New Roman" w:eastAsia="Calibri" w:hAnsi="Times New Roman" w:cs="Times New Roman"/>
          <w:b/>
          <w:bCs/>
          <w:sz w:val="20"/>
          <w:szCs w:val="20"/>
          <w:lang w:val="en-US"/>
        </w:rPr>
        <w:t>DASS Score *</w:t>
      </w:r>
    </w:p>
    <w:p w14:paraId="796E846B"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bCs/>
          <w:sz w:val="24"/>
          <w:szCs w:val="24"/>
          <w:lang w:val="en-US"/>
        </w:rPr>
        <w:t xml:space="preserve">Table 12 </w:t>
      </w:r>
      <w:r w:rsidRPr="00703566">
        <w:rPr>
          <w:rFonts w:ascii="Times New Roman" w:eastAsia="Calibri" w:hAnsi="Times New Roman" w:cs="Times New Roman"/>
          <w:sz w:val="24"/>
          <w:szCs w:val="24"/>
          <w:lang w:val="en-US"/>
        </w:rPr>
        <w:t>demonstrates stress among target group during covid 19 pandemic. According to above table, 52% of the target group had extreme stress (34 females and 18 males), followed by 37 per cent of people with normal stress (16 females and 21 males) and 11 males in the target group had no stress during the pandemic. Moreover, females had extreme stress than males when compared.</w:t>
      </w:r>
    </w:p>
    <w:p w14:paraId="1FDAE732"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Stress is a natural part of life for everyone, but it can be extremely serious in the elderly due to a variety of interrelated factors include demographic variable such as age, sex, socio economic status etc. According to studies, stress can cause severe immune suppression, which can lead to chronic infections and increased vulnerability to infections.</w:t>
      </w:r>
      <w:r w:rsidRPr="00703566">
        <w:rPr>
          <w:rFonts w:ascii="Times New Roman" w:eastAsia="Calibri" w:hAnsi="Times New Roman" w:cs="Times New Roman"/>
          <w:sz w:val="24"/>
          <w:szCs w:val="24"/>
        </w:rPr>
        <w:t xml:space="preserve"> </w:t>
      </w:r>
      <w:r w:rsidRPr="00703566">
        <w:rPr>
          <w:rFonts w:ascii="Times New Roman" w:eastAsia="Calibri" w:hAnsi="Times New Roman" w:cs="Times New Roman"/>
          <w:sz w:val="24"/>
          <w:szCs w:val="24"/>
          <w:lang w:val="en-US"/>
        </w:rPr>
        <w:t xml:space="preserve">They can display signs of emotional numbness, a loss of interest in daily activities, and a sense of separation from others. Delirium may be developed in association with stress. Geriatric COVID-19  patients are often exposed to intense physiological and psychological stress as a result of morbidities and symptoms associated with corona virus infection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{"citationItems":[{"id":"ITEM-1","itemData":{"DOI":"10.4103/jmms.jmms_151_20","ISSN":"0975-3605","abstract":"&lt;br&gt;About one third of the elderly suffer from mental illness due to psychosocial issues such as loss of spouse, social and financial insecurity, low support from families, inadequate nutrition, uncontrolled hypertension, impaired vision, deafness, and arthritis. Psychological stress can have harmful impact on the immune system, making the elderly more susceptible to SARS-Co-V2. Stigma associated with the disease, risk of developing complications during the course of the disease and relatively high mortality rates put the elderly under immense stress. The older population though knowledgeable are ignorant of their own health. The prevalent COVID-19 pandemic imposes more challenges to the elderly population which demands a holistic approach directed to meticulous solutions.","author":[{"dropping-particle":"","family":"Balan","given":"RamyaVadakkayil","non-dropping-particle":"","parse-names":false,"suffix":""},{"dropping-particle":"","family":"Sasidharan","given":"DivyamolKarunakaran","non-dropping-particle":"","parse-names":false,"suffix":""},{"dropping-particle":"","family":"Lalu","given":"JishnuSathees","non-dropping-particle":"","parse-names":false,"suffix":""}],"container-title":"Journal of Marine Medical Society","id":"ITEM-1","issue":"2","issued":{"date-parts":[["2020"]]},"page":"113","publisher":"Medknow","title":"An insight into the elderly mind during COVID-19 pandemic: World Mental Health Day 2020","type":"article-journal","volume":"22"},"uris":["http://www.mendeley.com/documents/?uuid=965a8b3d-b7d4-3c62-84a3-51ed8e49be46"]}],"mendeley":{"formattedCitation":"(Balan et al., 2020)","plainTextFormattedCitation":"(Balan et al., 2020)","previouslyFormattedCitation":"(Balan et al., 2020)"},"properties":{"noteIndex":0},"schema":"https://github.com/citation-style-language/schema/raw/master/csl-citation.json"}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(Balan et al., 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w:t>
      </w:r>
    </w:p>
    <w:p w14:paraId="2BE4396A"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lastRenderedPageBreak/>
        <w:t xml:space="preserve">According to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{"citationItems":[{"id":"ITEM-1","itemData":{"author":[{"dropping-particle":"","family":"Wenham","given":"Clare","non-dropping-particle":"","parse-names":false,"suffix":""},{"dropping-particle":"","family":"of Health Policy","given":"Department","non-dropping-particle":"","parse-names":false,"suffix":""},{"dropping-particle":"","family":"School of Economics","given":"London","non-dropping-particle":"","parse-names":false,"suffix":""},{"dropping-particle":"","family":"Science","given":"Political","non-dropping-particle":"","parse-names":false,"suffix":""},{"dropping-particle":"","family":"Kingdom","given":"United","non-dropping-particle":"","parse-names":false,"suffix":""}],"id":"ITEM-1","issued":{"date-parts":[["0"]]},"title":"The gendered impact of the COVID-19 crisis and post-crisis period","type":"report"},"uris":["http://www.mendeley.com/documents/?uuid=a7dfc505-24ec-3a08-a125-609815fe3e19"]}],"mendeley":{"formattedCitation":"(Wenham et al., n.d.)","manualFormatting":"Wenham et al.,(2020)","plainTextFormattedCitation":"(Wenham et al., n.d.)","previouslyFormattedCitation":"(Wenham et al., n.d.)"},"properties":{"noteIndex":0},"schema":"https://github.com/citation-style-language/schema/raw/master/csl-citation.json"}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Wenham et al.,(2020)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females have a greater risk of psychological outcomes. Females may experience higher psychological stress as a result of COVID-19 and the care pressure at home, according to some researchers. Stress discrepancies between men and women are often due to various influence on people's social environments. </w:t>
      </w:r>
    </w:p>
    <w:p w14:paraId="6D7B5F96" w14:textId="77777777" w:rsidR="00703566" w:rsidRPr="00703566" w:rsidRDefault="00703566" w:rsidP="00703566">
      <w:pPr>
        <w:spacing w:line="480" w:lineRule="auto"/>
        <w:jc w:val="both"/>
        <w:rPr>
          <w:rFonts w:ascii="Times New Roman" w:eastAsia="Calibri" w:hAnsi="Times New Roman" w:cs="Times New Roman"/>
          <w:sz w:val="24"/>
          <w:szCs w:val="24"/>
        </w:rPr>
      </w:pPr>
      <w:bookmarkStart w:id="29" w:name="_Hlk68596681"/>
      <w:bookmarkStart w:id="30" w:name="_Hlk68597866"/>
      <w:r w:rsidRPr="00703566">
        <w:rPr>
          <w:rFonts w:ascii="Times New Roman" w:eastAsia="Calibri" w:hAnsi="Times New Roman" w:cs="Times New Roman"/>
          <w:sz w:val="24"/>
          <w:szCs w:val="24"/>
        </w:rPr>
        <w:t>To compare the stress between male and female patients Wilcoxon signed rank test was used</w:t>
      </w:r>
      <w:bookmarkStart w:id="31" w:name="_Hlk68597125"/>
      <w:bookmarkEnd w:id="29"/>
      <w:r w:rsidRPr="00703566">
        <w:rPr>
          <w:rFonts w:ascii="Times New Roman" w:eastAsia="Calibri" w:hAnsi="Times New Roman" w:cs="Times New Roman"/>
          <w:sz w:val="24"/>
          <w:szCs w:val="24"/>
        </w:rPr>
        <w:t>, (W = 345, p-value = 0.0002375)</w:t>
      </w:r>
      <w:bookmarkEnd w:id="31"/>
      <w:r w:rsidRPr="00703566">
        <w:rPr>
          <w:rFonts w:ascii="Times New Roman" w:eastAsia="Calibri" w:hAnsi="Times New Roman" w:cs="Times New Roman"/>
          <w:sz w:val="24"/>
          <w:szCs w:val="24"/>
        </w:rPr>
        <w:t xml:space="preserve"> indicates that stress level of men </w:t>
      </w:r>
      <w:proofErr w:type="gramStart"/>
      <w:r w:rsidRPr="00703566">
        <w:rPr>
          <w:rFonts w:ascii="Times New Roman" w:eastAsia="Calibri" w:hAnsi="Times New Roman" w:cs="Times New Roman"/>
          <w:sz w:val="24"/>
          <w:szCs w:val="24"/>
        </w:rPr>
        <w:t>are</w:t>
      </w:r>
      <w:proofErr w:type="gramEnd"/>
      <w:r w:rsidRPr="00703566">
        <w:rPr>
          <w:rFonts w:ascii="Times New Roman" w:eastAsia="Calibri" w:hAnsi="Times New Roman" w:cs="Times New Roman"/>
          <w:sz w:val="24"/>
          <w:szCs w:val="24"/>
        </w:rPr>
        <w:t xml:space="preserve"> less compared to female COVID-19 patients</w:t>
      </w:r>
      <w:bookmarkEnd w:id="30"/>
      <w:r w:rsidRPr="00703566">
        <w:rPr>
          <w:rFonts w:ascii="Times New Roman" w:eastAsia="Calibri" w:hAnsi="Times New Roman" w:cs="Times New Roman"/>
          <w:sz w:val="24"/>
          <w:szCs w:val="24"/>
        </w:rPr>
        <w:t>.</w:t>
      </w:r>
    </w:p>
    <w:p w14:paraId="310EF3A8"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     </w:t>
      </w:r>
      <w:r w:rsidRPr="00703566">
        <w:rPr>
          <w:rFonts w:ascii="Times New Roman" w:eastAsia="Calibri" w:hAnsi="Times New Roman" w:cs="Times New Roman"/>
          <w:b/>
          <w:bCs/>
          <w:sz w:val="24"/>
          <w:szCs w:val="24"/>
          <w:lang w:val="en-US"/>
        </w:rPr>
        <w:tab/>
      </w:r>
      <w:r w:rsidRPr="00703566">
        <w:rPr>
          <w:rFonts w:ascii="Times New Roman" w:eastAsia="Calibri" w:hAnsi="Times New Roman" w:cs="Times New Roman"/>
          <w:b/>
          <w:bCs/>
          <w:sz w:val="24"/>
          <w:szCs w:val="24"/>
          <w:lang w:val="en-US"/>
        </w:rPr>
        <w:tab/>
      </w:r>
      <w:r w:rsidRPr="00703566">
        <w:rPr>
          <w:rFonts w:ascii="Times New Roman" w:eastAsia="Calibri" w:hAnsi="Times New Roman" w:cs="Times New Roman"/>
          <w:b/>
          <w:bCs/>
          <w:sz w:val="24"/>
          <w:szCs w:val="24"/>
          <w:lang w:val="en-US"/>
        </w:rPr>
        <w:tab/>
      </w:r>
      <w:r w:rsidRPr="00703566">
        <w:rPr>
          <w:rFonts w:ascii="Times New Roman" w:eastAsia="Calibri" w:hAnsi="Times New Roman" w:cs="Times New Roman"/>
          <w:b/>
          <w:bCs/>
          <w:sz w:val="24"/>
          <w:szCs w:val="24"/>
          <w:lang w:val="en-US"/>
        </w:rPr>
        <w:tab/>
        <w:t xml:space="preserve">  Table 13</w:t>
      </w:r>
    </w:p>
    <w:p w14:paraId="25A638BE"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4.7.2 Depression Among Target Group</w:t>
      </w:r>
    </w:p>
    <w:tbl>
      <w:tblPr>
        <w:tblStyle w:val="TableGrid2"/>
        <w:tblW w:w="0" w:type="auto"/>
        <w:tblInd w:w="-5" w:type="dxa"/>
        <w:tblLook w:val="04A0" w:firstRow="1" w:lastRow="0" w:firstColumn="1" w:lastColumn="0" w:noHBand="0" w:noVBand="1"/>
      </w:tblPr>
      <w:tblGrid>
        <w:gridCol w:w="2073"/>
        <w:gridCol w:w="2020"/>
        <w:gridCol w:w="1980"/>
        <w:gridCol w:w="2068"/>
      </w:tblGrid>
      <w:tr w:rsidR="00703566" w:rsidRPr="00703566" w14:paraId="13B486E2" w14:textId="77777777" w:rsidTr="008A6F48">
        <w:tc>
          <w:tcPr>
            <w:tcW w:w="2073" w:type="dxa"/>
          </w:tcPr>
          <w:p w14:paraId="74DB9A27"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Depression </w:t>
            </w:r>
          </w:p>
        </w:tc>
        <w:tc>
          <w:tcPr>
            <w:tcW w:w="2020" w:type="dxa"/>
          </w:tcPr>
          <w:p w14:paraId="27B5AECC"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Females </w:t>
            </w:r>
          </w:p>
        </w:tc>
        <w:tc>
          <w:tcPr>
            <w:tcW w:w="1980" w:type="dxa"/>
          </w:tcPr>
          <w:p w14:paraId="7FFF9FD9"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Males </w:t>
            </w:r>
          </w:p>
        </w:tc>
        <w:tc>
          <w:tcPr>
            <w:tcW w:w="2068" w:type="dxa"/>
          </w:tcPr>
          <w:p w14:paraId="0CA43C93"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Percentage </w:t>
            </w:r>
          </w:p>
        </w:tc>
      </w:tr>
      <w:tr w:rsidR="00703566" w:rsidRPr="00703566" w14:paraId="24F2E417" w14:textId="77777777" w:rsidTr="008A6F48">
        <w:tc>
          <w:tcPr>
            <w:tcW w:w="2073" w:type="dxa"/>
          </w:tcPr>
          <w:p w14:paraId="0FA7376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Extreme </w:t>
            </w:r>
          </w:p>
          <w:p w14:paraId="1D05908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*(28)</w:t>
            </w:r>
          </w:p>
        </w:tc>
        <w:tc>
          <w:tcPr>
            <w:tcW w:w="2020" w:type="dxa"/>
          </w:tcPr>
          <w:p w14:paraId="7986A5F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23</w:t>
            </w:r>
          </w:p>
        </w:tc>
        <w:tc>
          <w:tcPr>
            <w:tcW w:w="1980" w:type="dxa"/>
          </w:tcPr>
          <w:p w14:paraId="3D9AF36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19</w:t>
            </w:r>
          </w:p>
        </w:tc>
        <w:tc>
          <w:tcPr>
            <w:tcW w:w="2068" w:type="dxa"/>
          </w:tcPr>
          <w:p w14:paraId="7C780F6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42</w:t>
            </w:r>
          </w:p>
        </w:tc>
      </w:tr>
      <w:tr w:rsidR="00703566" w:rsidRPr="00703566" w14:paraId="36D312E5" w14:textId="77777777" w:rsidTr="008A6F48">
        <w:tc>
          <w:tcPr>
            <w:tcW w:w="2073" w:type="dxa"/>
          </w:tcPr>
          <w:p w14:paraId="152516E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Normal </w:t>
            </w:r>
          </w:p>
          <w:p w14:paraId="4AEC7FDF"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*(0-9)</w:t>
            </w:r>
          </w:p>
        </w:tc>
        <w:tc>
          <w:tcPr>
            <w:tcW w:w="2020" w:type="dxa"/>
          </w:tcPr>
          <w:p w14:paraId="6DF273B0"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7</w:t>
            </w:r>
          </w:p>
        </w:tc>
        <w:tc>
          <w:tcPr>
            <w:tcW w:w="1980" w:type="dxa"/>
          </w:tcPr>
          <w:p w14:paraId="094D1370"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27</w:t>
            </w:r>
          </w:p>
        </w:tc>
        <w:tc>
          <w:tcPr>
            <w:tcW w:w="2068" w:type="dxa"/>
          </w:tcPr>
          <w:p w14:paraId="6CEF63C3"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34</w:t>
            </w:r>
          </w:p>
        </w:tc>
      </w:tr>
      <w:tr w:rsidR="00703566" w:rsidRPr="00703566" w14:paraId="6177330C" w14:textId="77777777" w:rsidTr="008A6F48">
        <w:tc>
          <w:tcPr>
            <w:tcW w:w="2073" w:type="dxa"/>
          </w:tcPr>
          <w:p w14:paraId="5A88BA20"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Very low</w:t>
            </w:r>
          </w:p>
          <w:p w14:paraId="4A593CC9"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*(4-21)</w:t>
            </w:r>
          </w:p>
        </w:tc>
        <w:tc>
          <w:tcPr>
            <w:tcW w:w="2020" w:type="dxa"/>
          </w:tcPr>
          <w:p w14:paraId="5C7DB8B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980" w:type="dxa"/>
          </w:tcPr>
          <w:p w14:paraId="5E24528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24</w:t>
            </w:r>
          </w:p>
        </w:tc>
        <w:tc>
          <w:tcPr>
            <w:tcW w:w="2068" w:type="dxa"/>
          </w:tcPr>
          <w:p w14:paraId="327F875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24</w:t>
            </w:r>
          </w:p>
        </w:tc>
      </w:tr>
      <w:tr w:rsidR="00703566" w:rsidRPr="00703566" w14:paraId="60EFC789" w14:textId="77777777" w:rsidTr="008A6F48">
        <w:tc>
          <w:tcPr>
            <w:tcW w:w="2073" w:type="dxa"/>
          </w:tcPr>
          <w:p w14:paraId="34EE408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Total </w:t>
            </w:r>
          </w:p>
        </w:tc>
        <w:tc>
          <w:tcPr>
            <w:tcW w:w="2020" w:type="dxa"/>
          </w:tcPr>
          <w:p w14:paraId="332E6DD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50</w:t>
            </w:r>
          </w:p>
        </w:tc>
        <w:tc>
          <w:tcPr>
            <w:tcW w:w="1980" w:type="dxa"/>
          </w:tcPr>
          <w:p w14:paraId="173868B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50</w:t>
            </w:r>
          </w:p>
        </w:tc>
        <w:tc>
          <w:tcPr>
            <w:tcW w:w="2068" w:type="dxa"/>
          </w:tcPr>
          <w:p w14:paraId="6A15C9E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100</w:t>
            </w:r>
          </w:p>
        </w:tc>
      </w:tr>
    </w:tbl>
    <w:p w14:paraId="69C6AF14" w14:textId="77777777" w:rsidR="00703566" w:rsidRPr="00703566" w:rsidRDefault="00703566" w:rsidP="00703566">
      <w:pPr>
        <w:spacing w:line="480" w:lineRule="auto"/>
        <w:jc w:val="both"/>
        <w:rPr>
          <w:rFonts w:ascii="Times New Roman" w:eastAsia="Calibri" w:hAnsi="Times New Roman" w:cs="Times New Roman"/>
          <w:b/>
          <w:bCs/>
          <w:sz w:val="20"/>
          <w:szCs w:val="20"/>
          <w:lang w:val="en-US"/>
        </w:rPr>
      </w:pPr>
      <w:r w:rsidRPr="00703566">
        <w:rPr>
          <w:rFonts w:ascii="Times New Roman" w:eastAsia="Calibri" w:hAnsi="Times New Roman" w:cs="Times New Roman"/>
          <w:b/>
          <w:bCs/>
          <w:sz w:val="20"/>
          <w:szCs w:val="20"/>
          <w:lang w:val="en-US"/>
        </w:rPr>
        <w:t>(</w:t>
      </w:r>
      <w:r w:rsidRPr="00703566">
        <w:rPr>
          <w:rFonts w:ascii="Times New Roman" w:eastAsia="Calibri" w:hAnsi="Times New Roman" w:cs="Times New Roman"/>
          <w:b/>
          <w:bCs/>
          <w:sz w:val="20"/>
          <w:szCs w:val="20"/>
        </w:rPr>
        <w:t xml:space="preserve">W = 392.5, p-value = 0.002915. depression Vs </w:t>
      </w:r>
      <w:proofErr w:type="gramStart"/>
      <w:r w:rsidRPr="00703566">
        <w:rPr>
          <w:rFonts w:ascii="Times New Roman" w:eastAsia="Calibri" w:hAnsi="Times New Roman" w:cs="Times New Roman"/>
          <w:b/>
          <w:bCs/>
          <w:sz w:val="20"/>
          <w:szCs w:val="20"/>
        </w:rPr>
        <w:t xml:space="preserve">gender)   </w:t>
      </w:r>
      <w:proofErr w:type="gramEnd"/>
      <w:r w:rsidRPr="00703566">
        <w:rPr>
          <w:rFonts w:ascii="Times New Roman" w:eastAsia="Calibri" w:hAnsi="Times New Roman" w:cs="Times New Roman"/>
          <w:b/>
          <w:bCs/>
          <w:sz w:val="20"/>
          <w:szCs w:val="20"/>
        </w:rPr>
        <w:t xml:space="preserve">                         </w:t>
      </w:r>
      <w:r w:rsidRPr="00703566">
        <w:rPr>
          <w:rFonts w:ascii="Times New Roman" w:eastAsia="Calibri" w:hAnsi="Times New Roman" w:cs="Times New Roman"/>
          <w:b/>
          <w:bCs/>
          <w:sz w:val="20"/>
          <w:szCs w:val="20"/>
          <w:lang w:val="en-US"/>
        </w:rPr>
        <w:t>DASS Score *</w:t>
      </w:r>
    </w:p>
    <w:p w14:paraId="06378A14"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bCs/>
          <w:sz w:val="24"/>
          <w:szCs w:val="24"/>
          <w:lang w:val="en-US"/>
        </w:rPr>
        <w:t>Table 13</w:t>
      </w:r>
      <w:r w:rsidRPr="00703566">
        <w:rPr>
          <w:rFonts w:ascii="Times New Roman" w:eastAsia="Calibri" w:hAnsi="Times New Roman" w:cs="Times New Roman"/>
          <w:sz w:val="24"/>
          <w:szCs w:val="24"/>
          <w:lang w:val="en-US"/>
        </w:rPr>
        <w:t xml:space="preserve"> shows depression among target group. 42 per cent of the samples (23 females and 19 males) had extreme depression during corona virus infection and 34 per cent people (7 females and 27 male) were normal. In comparison, females had extreme depression than males. Depression is a common mental condition that affects the health-related quality of life of older adults and its frequency increases as people get older</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{"citationItems":[{"id":"ITEM-1","itemData":{"DOI":"10.1001/jama.2020.21753","author":[{"dropping-particle":"","family":"Medical Association","given":"American","non-dropping-particle":"","parse-names":false,"suffix":""}],"id":"ITEM-1","issued":{"date-parts":[["2020"]]},"title":"older adult and mental health effect on COVID","type":"article-journal"},"uris":["http://www.mendeley.com/documents/?uuid=69918acf-4d42-3fb8-9f33-e0da236ebd54"]}],"mendeley":{"formattedCitation":"(Medical Association, 2020)","plainTextFormattedCitation":"(Medical Association, 2020)","previouslyFormattedCitation":"(Medical Association, 2020)"},"properties":{"noteIndex":0},"schema":"https://github.com/citation-style-language/schema/raw/master/csl-citation.json"}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(Medical Association, 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r w:rsidRPr="00703566">
        <w:rPr>
          <w:rFonts w:ascii="Times New Roman" w:eastAsia="Calibri" w:hAnsi="Times New Roman" w:cs="Times New Roman"/>
          <w:sz w:val="24"/>
          <w:szCs w:val="24"/>
        </w:rPr>
        <w:t>To compare the depression between male and female patients Wilcoxon signed rank test was used.(W = 392.5, p-value = 0.002915)  indicates that depression level of men are less than female patients.</w:t>
      </w:r>
    </w:p>
    <w:p w14:paraId="1BB8E5C1"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1F52D157" w14:textId="77777777" w:rsidR="00703566" w:rsidRPr="00703566" w:rsidRDefault="00703566" w:rsidP="00703566">
      <w:pPr>
        <w:spacing w:line="480" w:lineRule="auto"/>
        <w:ind w:left="2160" w:firstLine="720"/>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lastRenderedPageBreak/>
        <w:t>Table 14</w:t>
      </w:r>
    </w:p>
    <w:p w14:paraId="4735C13C"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4.7.3 Anxiety Among Target Group</w:t>
      </w:r>
    </w:p>
    <w:tbl>
      <w:tblPr>
        <w:tblStyle w:val="TableGrid2"/>
        <w:tblpPr w:leftFromText="180" w:rightFromText="180" w:vertAnchor="text" w:horzAnchor="margin" w:tblpXSpec="center" w:tblpY="202"/>
        <w:tblW w:w="0" w:type="auto"/>
        <w:tblLook w:val="04A0" w:firstRow="1" w:lastRow="0" w:firstColumn="1" w:lastColumn="0" w:noHBand="0" w:noVBand="1"/>
      </w:tblPr>
      <w:tblGrid>
        <w:gridCol w:w="2466"/>
        <w:gridCol w:w="1817"/>
        <w:gridCol w:w="1776"/>
        <w:gridCol w:w="1867"/>
      </w:tblGrid>
      <w:tr w:rsidR="00703566" w:rsidRPr="00703566" w14:paraId="62336C51" w14:textId="77777777" w:rsidTr="008A6F48">
        <w:tc>
          <w:tcPr>
            <w:tcW w:w="2466" w:type="dxa"/>
          </w:tcPr>
          <w:p w14:paraId="7442F15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Anxiety </w:t>
            </w:r>
          </w:p>
        </w:tc>
        <w:tc>
          <w:tcPr>
            <w:tcW w:w="1817" w:type="dxa"/>
          </w:tcPr>
          <w:p w14:paraId="4731689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Females </w:t>
            </w:r>
          </w:p>
        </w:tc>
        <w:tc>
          <w:tcPr>
            <w:tcW w:w="1776" w:type="dxa"/>
          </w:tcPr>
          <w:p w14:paraId="4D85C4D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Males </w:t>
            </w:r>
          </w:p>
        </w:tc>
        <w:tc>
          <w:tcPr>
            <w:tcW w:w="1867" w:type="dxa"/>
          </w:tcPr>
          <w:p w14:paraId="1FDC519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Percentage </w:t>
            </w:r>
          </w:p>
        </w:tc>
      </w:tr>
      <w:tr w:rsidR="00703566" w:rsidRPr="00703566" w14:paraId="72FEB6E6" w14:textId="77777777" w:rsidTr="008A6F48">
        <w:tc>
          <w:tcPr>
            <w:tcW w:w="2466" w:type="dxa"/>
          </w:tcPr>
          <w:p w14:paraId="69CF446D"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Extreme </w:t>
            </w:r>
          </w:p>
          <w:p w14:paraId="4F81041B"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*(15-26)</w:t>
            </w:r>
          </w:p>
        </w:tc>
        <w:tc>
          <w:tcPr>
            <w:tcW w:w="1817" w:type="dxa"/>
          </w:tcPr>
          <w:p w14:paraId="238758FA"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22</w:t>
            </w:r>
          </w:p>
          <w:p w14:paraId="1A6D282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p>
        </w:tc>
        <w:tc>
          <w:tcPr>
            <w:tcW w:w="1776" w:type="dxa"/>
          </w:tcPr>
          <w:p w14:paraId="68A9C53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19</w:t>
            </w:r>
          </w:p>
        </w:tc>
        <w:tc>
          <w:tcPr>
            <w:tcW w:w="1867" w:type="dxa"/>
          </w:tcPr>
          <w:p w14:paraId="53FEDA04"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41</w:t>
            </w:r>
          </w:p>
        </w:tc>
      </w:tr>
      <w:tr w:rsidR="00703566" w:rsidRPr="00703566" w14:paraId="73A2583C" w14:textId="77777777" w:rsidTr="008A6F48">
        <w:tc>
          <w:tcPr>
            <w:tcW w:w="2466" w:type="dxa"/>
          </w:tcPr>
          <w:p w14:paraId="30BB8187"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Normal </w:t>
            </w:r>
          </w:p>
          <w:p w14:paraId="2464E82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*(8-14)</w:t>
            </w:r>
          </w:p>
        </w:tc>
        <w:tc>
          <w:tcPr>
            <w:tcW w:w="1817" w:type="dxa"/>
          </w:tcPr>
          <w:p w14:paraId="4E2A8D96"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6</w:t>
            </w:r>
          </w:p>
        </w:tc>
        <w:tc>
          <w:tcPr>
            <w:tcW w:w="1776" w:type="dxa"/>
          </w:tcPr>
          <w:p w14:paraId="51868B8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27</w:t>
            </w:r>
          </w:p>
        </w:tc>
        <w:tc>
          <w:tcPr>
            <w:tcW w:w="1867" w:type="dxa"/>
          </w:tcPr>
          <w:p w14:paraId="31A3CAA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33</w:t>
            </w:r>
          </w:p>
        </w:tc>
      </w:tr>
      <w:tr w:rsidR="00703566" w:rsidRPr="00703566" w14:paraId="61CCB429" w14:textId="77777777" w:rsidTr="008A6F48">
        <w:tc>
          <w:tcPr>
            <w:tcW w:w="2466" w:type="dxa"/>
          </w:tcPr>
          <w:p w14:paraId="361FE165"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Very low</w:t>
            </w:r>
          </w:p>
          <w:p w14:paraId="0016B33E"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*(0-7)</w:t>
            </w:r>
          </w:p>
        </w:tc>
        <w:tc>
          <w:tcPr>
            <w:tcW w:w="1817" w:type="dxa"/>
          </w:tcPr>
          <w:p w14:paraId="01E6F2F2"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0</w:t>
            </w:r>
          </w:p>
        </w:tc>
        <w:tc>
          <w:tcPr>
            <w:tcW w:w="1776" w:type="dxa"/>
          </w:tcPr>
          <w:p w14:paraId="1402E1D8"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26</w:t>
            </w:r>
          </w:p>
        </w:tc>
        <w:tc>
          <w:tcPr>
            <w:tcW w:w="1867" w:type="dxa"/>
          </w:tcPr>
          <w:p w14:paraId="4D9ED7E1" w14:textId="77777777" w:rsidR="00703566" w:rsidRPr="00703566" w:rsidRDefault="00703566" w:rsidP="00703566">
            <w:pPr>
              <w:spacing w:line="36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26</w:t>
            </w:r>
          </w:p>
        </w:tc>
      </w:tr>
      <w:tr w:rsidR="00703566" w:rsidRPr="00703566" w14:paraId="37F62A75" w14:textId="77777777" w:rsidTr="008A6F48">
        <w:tc>
          <w:tcPr>
            <w:tcW w:w="2466" w:type="dxa"/>
          </w:tcPr>
          <w:p w14:paraId="05288654"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 xml:space="preserve">Total </w:t>
            </w:r>
          </w:p>
        </w:tc>
        <w:tc>
          <w:tcPr>
            <w:tcW w:w="1817" w:type="dxa"/>
          </w:tcPr>
          <w:p w14:paraId="7EB5FA89"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776" w:type="dxa"/>
          </w:tcPr>
          <w:p w14:paraId="2659588D"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50</w:t>
            </w:r>
          </w:p>
        </w:tc>
        <w:tc>
          <w:tcPr>
            <w:tcW w:w="1867" w:type="dxa"/>
          </w:tcPr>
          <w:p w14:paraId="4CA6D996" w14:textId="77777777" w:rsidR="00703566" w:rsidRPr="00703566" w:rsidRDefault="00703566" w:rsidP="00703566">
            <w:pPr>
              <w:spacing w:line="36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100</w:t>
            </w:r>
          </w:p>
        </w:tc>
      </w:tr>
    </w:tbl>
    <w:p w14:paraId="79C7919C"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829F5F8"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CCE254C"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0B79DEB5"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5D61703D"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E1BAD9F" w14:textId="77777777" w:rsidR="00703566" w:rsidRPr="00703566" w:rsidRDefault="00703566" w:rsidP="00703566">
      <w:pPr>
        <w:spacing w:line="480" w:lineRule="auto"/>
        <w:jc w:val="both"/>
        <w:rPr>
          <w:rFonts w:ascii="Times New Roman" w:eastAsia="Calibri" w:hAnsi="Times New Roman" w:cs="Times New Roman"/>
          <w:b/>
          <w:bCs/>
          <w:sz w:val="20"/>
          <w:szCs w:val="20"/>
          <w:lang w:val="en-US"/>
        </w:rPr>
      </w:pPr>
      <w:r w:rsidRPr="00703566">
        <w:rPr>
          <w:rFonts w:ascii="Times New Roman" w:eastAsia="Calibri" w:hAnsi="Times New Roman" w:cs="Times New Roman"/>
          <w:b/>
          <w:bCs/>
          <w:sz w:val="20"/>
          <w:szCs w:val="20"/>
          <w:lang w:val="en-US"/>
        </w:rPr>
        <w:t xml:space="preserve"> DASS score * </w:t>
      </w:r>
      <w:r w:rsidRPr="00703566">
        <w:rPr>
          <w:rFonts w:ascii="Times New Roman" w:eastAsia="Calibri" w:hAnsi="Times New Roman" w:cs="Times New Roman"/>
          <w:b/>
          <w:bCs/>
          <w:sz w:val="20"/>
          <w:szCs w:val="20"/>
          <w:lang w:val="en-US"/>
        </w:rPr>
        <w:tab/>
        <w:t>(</w:t>
      </w:r>
      <w:r w:rsidRPr="00703566">
        <w:rPr>
          <w:rFonts w:ascii="Times New Roman" w:eastAsia="Calibri" w:hAnsi="Times New Roman" w:cs="Times New Roman"/>
          <w:b/>
          <w:bCs/>
          <w:sz w:val="20"/>
          <w:szCs w:val="20"/>
        </w:rPr>
        <w:t>W = 357.5, p-value, anxiety Vs gender)</w:t>
      </w:r>
    </w:p>
    <w:p w14:paraId="06E0A853"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bCs/>
          <w:sz w:val="24"/>
          <w:szCs w:val="24"/>
          <w:lang w:val="en-US"/>
        </w:rPr>
        <w:t>Table 14</w:t>
      </w:r>
      <w:r w:rsidRPr="00703566">
        <w:rPr>
          <w:rFonts w:ascii="Times New Roman" w:eastAsia="Calibri" w:hAnsi="Times New Roman" w:cs="Times New Roman"/>
          <w:sz w:val="24"/>
          <w:szCs w:val="24"/>
          <w:lang w:val="en-US"/>
        </w:rPr>
        <w:t xml:space="preserve"> shows the anxiety among target group where 41 per cent of the target people (22 females and 19 males) had extreme anxiety and 33 per cent of the people were normal. </w:t>
      </w:r>
    </w:p>
    <w:p w14:paraId="73A6197E"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An anxiety disorder is characterized by excessive or disproportional feelings of fear, worry, apprehension, or dread in relation to the problems or circumstances feared. Anxiety disorders come in a variety of forms.</w:t>
      </w:r>
      <w:r w:rsidRPr="00703566">
        <w:rPr>
          <w:rFonts w:ascii="Times New Roman" w:eastAsia="Calibri" w:hAnsi="Times New Roman" w:cs="Times New Roman"/>
          <w:sz w:val="24"/>
          <w:szCs w:val="24"/>
        </w:rPr>
        <w:t xml:space="preserve"> </w:t>
      </w:r>
      <w:r w:rsidRPr="00703566">
        <w:rPr>
          <w:rFonts w:ascii="Times New Roman" w:eastAsia="Calibri" w:hAnsi="Times New Roman" w:cs="Times New Roman"/>
          <w:sz w:val="24"/>
          <w:szCs w:val="24"/>
          <w:lang w:val="en-US"/>
        </w:rPr>
        <w:t xml:space="preserve">Depression and anxiety are common in older adults, and both can be debilitating, lowering overall health and quality of life. Knowing the symptoms of anxiety and depression, as well as discussing any issues with a physician, is critical. Anxiety and memory are inextricably linked. Anxiety can affect memory, and severe anxiety can lead to amnesia or flashbacks of a traumatic event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{"citationItems":[{"id":"ITEM-1","itemData":{"DOI":"10.1186/s41043-019-0199-8","ISSN":"20721315","PMID":"31856919","abstract":"Background: Food frequency questionnaires (FFQs) are dietary surveys widely used in studies of nutritional epidemiology because they are inexpensive, easy to complete and provide significant information on dietary intake over a long period of time. FFQs should be written specifically for each study group since diet may be influenced by ethnicity, culture, economic status and environmental factors. The aim of the authors on this work was to design and validate a food frequency questionnaire for the Peruvian Amazon population. Methods: Three hundred three individuals were selected and completed three 24-h recalls (R24). Two FFQs were conducted on two different occasions (FFQ.1 and FFQ.2). The validity of the FFQ was evaluated by comparing the relationship between the average daily nutrient intake estimated by the FFQs and that obtained by the three R24. The reproducibility was measured by comparing the mean nutrient intake of the two FFQs carried out. The correlations were assessed using the Pearson correlation coefficient, the intraclass correlation coefficient (ICC), the Lin correlation coefficient (CCC) and the Bland-Altman plot. Results: The results obtained to establish the validity showed a high correlation, with an average Pearson's correlation coefficient of 0.70, a CCI of 0.65 and a CCC of 0.60. Approximately 60% of the nutrients had a CCC above 0.60. In terms of reproducibility, better results were obtained, with an average Pearson's correlation coefficient of 0.67, 0.64 for CCI and 0.58 for CCC. Conclusions: The correlation coefficients show good validity and reproducibility, and therefore, the FFQ we have developed may be considered a useful and valid tool to estimate the dietary intake of the Peruvian Amazon population.","author":[{"dropping-particle":"","family":"Garciá Rodríguez","given":"Mariá","non-dropping-particle":"","parse-names":false,"suffix":""},{"dropping-particle":"","family":"Romero Saldanã","given":"Manuel","non-dropping-particle":"","parse-names":false,"suffix":""},{"dropping-particle":"","family":"Alcaide Leyva","given":"José Manuel","non-dropping-particle":"","parse-names":false,"suffix":""},{"dropping-particle":"","family":"Moreno Rojas","given":"Rafael","non-dropping-particle":"","parse-names":false,"suffix":""},{"dropping-particle":"","family":"Molina Recio","given":"Guillermo","non-dropping-particle":"","parse-names":false,"suffix":""}],"container-title":"Journal of Health, Population and Nutrition","id":"ITEM-1","issue":"1","issued":{"date-parts":[["2019","12","19"]]},"page":"47","publisher":"BioMed Central Ltd.","title":"Design and validation of a food frequency questionnaire (FFQ) for the nutritional evaluation of food intake in the Peruvian Amazon","type":"article-journal","volume":"38"},"uris":["http://www.mendeley.com/documents/?uuid=328905ac-8bdc-3030-81f5-cca35fc238ad"]}],"mendeley":{"formattedCitation":"(Garciá Rodríguez et al., 2019)","plainTextFormattedCitation":"(Garciá Rodríguez et al., 2019)","previouslyFormattedCitation":"(Garciá Rodríguez et al., 2019)"},"properties":{"noteIndex":0},"schema":"https://github.com/citation-style-language/schema/raw/master/csl-citation.json"}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(Garciá Rodríguez et al., 2019)</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462CF075"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To compare the anxiety between male and female patients </w:t>
      </w:r>
      <w:bookmarkStart w:id="32" w:name="_Hlk68599350"/>
      <w:r w:rsidRPr="00703566">
        <w:rPr>
          <w:rFonts w:ascii="Times New Roman" w:eastAsia="Calibri" w:hAnsi="Times New Roman" w:cs="Times New Roman"/>
          <w:sz w:val="24"/>
          <w:szCs w:val="24"/>
        </w:rPr>
        <w:t>Wilcoxon signed rank test was used.</w:t>
      </w:r>
      <w:bookmarkEnd w:id="32"/>
      <w:r w:rsidRPr="00703566">
        <w:rPr>
          <w:rFonts w:ascii="Times New Roman" w:eastAsia="Calibri" w:hAnsi="Times New Roman" w:cs="Times New Roman"/>
          <w:sz w:val="24"/>
          <w:szCs w:val="24"/>
        </w:rPr>
        <w:t xml:space="preserve"> W = 357.5, p-value which indicates that anxiety level of men </w:t>
      </w:r>
      <w:proofErr w:type="gramStart"/>
      <w:r w:rsidRPr="00703566">
        <w:rPr>
          <w:rFonts w:ascii="Times New Roman" w:eastAsia="Calibri" w:hAnsi="Times New Roman" w:cs="Times New Roman"/>
          <w:sz w:val="24"/>
          <w:szCs w:val="24"/>
        </w:rPr>
        <w:t>are</w:t>
      </w:r>
      <w:proofErr w:type="gramEnd"/>
      <w:r w:rsidRPr="00703566">
        <w:rPr>
          <w:rFonts w:ascii="Times New Roman" w:eastAsia="Calibri" w:hAnsi="Times New Roman" w:cs="Times New Roman"/>
          <w:sz w:val="24"/>
          <w:szCs w:val="24"/>
        </w:rPr>
        <w:t xml:space="preserve"> less than female patients.</w:t>
      </w:r>
    </w:p>
    <w:p w14:paraId="451191BE"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4E110CAD"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F201CD7"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noProof/>
          <w:sz w:val="24"/>
          <w:szCs w:val="24"/>
          <w:lang w:val="en-US"/>
        </w:rPr>
        <w:lastRenderedPageBreak/>
        <w:drawing>
          <wp:inline distT="0" distB="0" distL="0" distR="0" wp14:anchorId="4609E940" wp14:editId="05460E4D">
            <wp:extent cx="5590309" cy="274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8945" cy="2753797"/>
                    </a:xfrm>
                    <a:prstGeom prst="rect">
                      <a:avLst/>
                    </a:prstGeom>
                    <a:noFill/>
                  </pic:spPr>
                </pic:pic>
              </a:graphicData>
            </a:graphic>
          </wp:inline>
        </w:drawing>
      </w:r>
    </w:p>
    <w:p w14:paraId="0DFF55B3"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proofErr w:type="gramStart"/>
      <w:r w:rsidRPr="00703566">
        <w:rPr>
          <w:rFonts w:ascii="Times New Roman" w:eastAsia="Calibri" w:hAnsi="Times New Roman" w:cs="Times New Roman"/>
          <w:b/>
          <w:bCs/>
          <w:sz w:val="24"/>
          <w:szCs w:val="24"/>
          <w:lang w:val="en-US"/>
        </w:rPr>
        <w:t>Figure :</w:t>
      </w:r>
      <w:proofErr w:type="gramEnd"/>
      <w:r w:rsidRPr="00703566">
        <w:rPr>
          <w:rFonts w:ascii="Times New Roman" w:eastAsia="Calibri" w:hAnsi="Times New Roman" w:cs="Times New Roman"/>
          <w:b/>
          <w:bCs/>
          <w:sz w:val="24"/>
          <w:szCs w:val="24"/>
          <w:lang w:val="en-US"/>
        </w:rPr>
        <w:t xml:space="preserve"> 9 </w:t>
      </w:r>
    </w:p>
    <w:p w14:paraId="17877598" w14:textId="77777777" w:rsidR="00703566" w:rsidRPr="00703566" w:rsidRDefault="00703566" w:rsidP="00703566">
      <w:pPr>
        <w:spacing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4.7.4 Occurrence of Delirium or Cognitive Impairment Among Target Group</w:t>
      </w:r>
    </w:p>
    <w:p w14:paraId="42B6F939"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Delirium is a common symptom in older patients who are sick, particularly if they have an infection. Older people emerged atypically with delirium during the COVID-19 pandemic, and it seems to have influenced the subgroup of very old people with several comorbidities in our clinical scenario. Delirium tends to be more prevalent during COVID-19 infection in the short term. It can, however, expose underlying primary psychiatric conditions or leave a long-term unresolved effect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{"citationItems":[{"id":"ITEM-1","itemData":{"DOI":"10.1007/s42399-020-00474-y/Published","ISBN":"4239902000474","abstract":"Delirium is a potentially fatal acute brain dysfunction that is characterised by inattention and fluctuating mental changes. It is indicative of an acute serious organ failure or acute infection. Delirium is also associated with undesirable health outcomes that include prolonged hospital stay, long-term cognitive decline and increased mortality. The new SARS-CoV-2 shows, not only pulmonary tropism but also, neurotropism which results in delirium in the acute phase illness particularly in the older age groups. The current assessment for COVID-19 in older people does not routinely include screening for delirium. Implementation of a rapid delirium screening tool is necessary because, without screening, up to 75% of cases can be missed. Delirium can also be exaggerated by health care policies that recommend social isolation and wearing personal protective equipment in addition to less interaction with patients. Non-pharmacological intervention for delirium prevention and management may be helpful if implemented as early and as often as possible in hospitalised older people with COVID-19. A holistic approach that includes psychological support in addition to medical care is needed for older people admitted to hospital with COVID-19.","author":[{"dropping-particle":"","family":"Emmerton","given":"Demelza","non-dropping-particle":"","parse-names":false,"suffix":""},{"dropping-particle":"","family":"Abdelhafiz","given":"Ahmed","non-dropping-particle":"","parse-names":false,"suffix":""}],"id":"ITEM-1","issued":{"date-parts":[["0"]]},"title":"Delirium in Older People with COVID-19: Clinical Scenario and Literature Review","type":"article-journal"},"uris":["http://www.mendeley.com/documents/?uuid=11a27a0e-3d59-33b3-a386-5985a669d57a"]}],"mendeley":{"formattedCitation":"(Emmerton &amp; Abdelhafiz, n.d.)","manualFormatting":"(Emmerton.,2020). ","plainTextFormattedCitation":"(Emmerton &amp; Abdelhafiz, n.d.)","previouslyFormattedCitation":"(Emmerton &amp; Abdelhafiz, n.d.)"},"properties":{"noteIndex":0},"schema":"https://github.com/citation-style-language/schema/raw/master/csl-citation.json"}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 xml:space="preserve">(Emmerton.,2020). </w:t>
      </w:r>
      <w:r w:rsidRPr="00703566">
        <w:rPr>
          <w:rFonts w:ascii="Times New Roman" w:eastAsia="Calibri" w:hAnsi="Times New Roman" w:cs="Times New Roman"/>
          <w:sz w:val="24"/>
          <w:szCs w:val="24"/>
          <w:lang w:val="en-US"/>
        </w:rPr>
        <w:fldChar w:fldCharType="end"/>
      </w:r>
    </w:p>
    <w:p w14:paraId="0083D19C"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bCs/>
          <w:sz w:val="24"/>
          <w:szCs w:val="24"/>
          <w:lang w:val="en-US"/>
        </w:rPr>
        <w:t>Figure 9</w:t>
      </w:r>
      <w:r w:rsidRPr="00703566">
        <w:rPr>
          <w:rFonts w:ascii="Times New Roman" w:eastAsia="Calibri" w:hAnsi="Times New Roman" w:cs="Times New Roman"/>
          <w:sz w:val="24"/>
          <w:szCs w:val="24"/>
          <w:lang w:val="en-US"/>
        </w:rPr>
        <w:t xml:space="preserve"> picturized the occurrence of delirium or cognitive impairment in selected samples, in </w:t>
      </w:r>
      <w:bookmarkStart w:id="33" w:name="_Hlk68598343"/>
      <w:r w:rsidRPr="00703566">
        <w:rPr>
          <w:rFonts w:ascii="Times New Roman" w:eastAsia="Calibri" w:hAnsi="Times New Roman" w:cs="Times New Roman"/>
          <w:sz w:val="24"/>
          <w:szCs w:val="24"/>
          <w:lang w:val="en-US"/>
        </w:rPr>
        <w:t xml:space="preserve">which majority of the people about 63% of the people were normal, remaining 18% and 19% of </w:t>
      </w:r>
      <w:proofErr w:type="gramStart"/>
      <w:r w:rsidRPr="00703566">
        <w:rPr>
          <w:rFonts w:ascii="Times New Roman" w:eastAsia="Calibri" w:hAnsi="Times New Roman" w:cs="Times New Roman"/>
          <w:sz w:val="24"/>
          <w:szCs w:val="24"/>
          <w:lang w:val="en-US"/>
        </w:rPr>
        <w:t>target  group</w:t>
      </w:r>
      <w:proofErr w:type="gramEnd"/>
      <w:r w:rsidRPr="00703566">
        <w:rPr>
          <w:rFonts w:ascii="Times New Roman" w:eastAsia="Calibri" w:hAnsi="Times New Roman" w:cs="Times New Roman"/>
          <w:sz w:val="24"/>
          <w:szCs w:val="24"/>
          <w:lang w:val="en-US"/>
        </w:rPr>
        <w:t xml:space="preserve"> had occurrence of delirium and cognitive impairment  respectively. </w:t>
      </w:r>
      <w:bookmarkEnd w:id="33"/>
      <w:r w:rsidRPr="00703566">
        <w:rPr>
          <w:rFonts w:ascii="Times New Roman" w:eastAsia="Calibri" w:hAnsi="Times New Roman" w:cs="Times New Roman"/>
          <w:sz w:val="24"/>
          <w:szCs w:val="24"/>
          <w:lang w:val="en-US"/>
        </w:rPr>
        <w:t xml:space="preserve">According to WHO altered consciousness/confusion may be a presenting symptom of COVID-19, even before fever and cough.  A viral infection like COVID-19, fever, and hypoxemia, on the other hand, can cause delirium in geriatric people. Delirium or cognitive impairment were developed in geriatric people due to their aging process , the occurrence of delirium or cognitive </w:t>
      </w:r>
      <w:r w:rsidRPr="00703566">
        <w:rPr>
          <w:rFonts w:ascii="Times New Roman" w:eastAsia="Calibri" w:hAnsi="Times New Roman" w:cs="Times New Roman"/>
          <w:sz w:val="24"/>
          <w:szCs w:val="24"/>
          <w:lang w:val="en-US"/>
        </w:rPr>
        <w:lastRenderedPageBreak/>
        <w:t xml:space="preserve">impairment that may contribute severe risk during COVID 19 infection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{"citationItems":[{"id":"ITEM-1","itemData":{"DOI":"10.1186/s13054-020-03200-1","ISSN":"1466609X","PMID":"32771053","abstract":"Background: Neurotropism of SARS-CoV-2 and its neurological manifestations have now been confirmed. We aimed at describing delirium and neurological symptoms of COVID-19 in ICU patients. Methods: We conducted a bicentric cohort study in two French ICUs of Strasbourg University Hospital. All the 150 patients referred for acute respiratory distress syndrome due to SARS-CoV-2 between March 3 and May 5, 2020, were included at their admission. Ten patients (6.7%) were excluded because they remained under neuromuscular blockers during their entire ICU stay. Neurological examination, including CAM-ICU, and cerebrospinal fluid analysis, electroencephalography, and magnetic resonance imaging (MRI) were performed in some of the patients with delirium and/or abnormal neurological examination. The primary endpoint was to describe the incidence of delirium and/or abnormal neurological examination. The secondary endpoints were to describe the characteristics of delirium, to compare the duration of invasive mechanical ventilation and ICU length of stay in patients with and without delirium and/or abnormal neurological symptoms. Results: The 140 patients were aged in median of 62 [IQR 52; 70] years old, with a median SAPSII of 49 [IQR 37; 64] points. Neurological examination was normal in 22 patients (15.7%). One hundred eighteen patients (84.3%) developed a delirium with a combination of acute attention, awareness, and cognition disturbances. Eighty-eight patients (69.3%) presented an unexpected state of agitation despite high infusion rates of sedative treatments and neuroleptics, and 89 (63.6%) patients had corticospinal tract signs. Brain MRI performed in 28 patients demonstrated enhancement of subarachnoid spaces in 17/28 patients (60.7%), intraparenchymal, predominantly white matter abnormalities in 8 patients, and perfusion abnormalities in 17/26 patients (65.4%). The 42 electroencephalograms mostly revealed unspecific abnormalities or diffuse, especially bifrontal, slow activity. Cerebrospinal fluid examination revealed inflammatory disturbances in 18/28 patients, including oligoclonal bands with mirror pattern and elevated IL-6. The CSF RT-PCR SARS-CoV-2 was positive in one patient. The delirium/neurological symptoms in COVID-19 patients were responsible for longer mechanical ventilation compared to the patients without delirium/neurological symptoms. Delirium/neurological symptoms could be secondary to systemic inflammatory reaction to SARS-CoV-2. Conclusions…","author":[{"dropping-particle":"","family":"Helms","given":"Julie","non-dropping-particle":"","parse-names":false,"suffix":""},{"dropping-particle":"","family":"Kremer","given":"Stéphane","non-dropping-particle":"","parse-names":false,"suffix":""},{"dropping-particle":"","family":"Merdji","given":"Hamid","non-dropping-particle":"","parse-names":false,"suffix":""},{"dropping-particle":"","family":"Schenck","given":"Malika","non-dropping-particle":"","parse-names":false,"suffix":""},{"dropping-particle":"","family":"Severac","given":"François","non-dropping-particle":"","parse-names":false,"suffix":""},{"dropping-particle":"","family":"Clere-Jehl","given":"Raphaël","non-dropping-particle":"","parse-names":false,"suffix":""},{"dropping-particle":"","family":"Studer","given":"Antoine","non-dropping-particle":"","parse-names":false,"suffix":""},{"dropping-particle":"","family":"Radosavljevic","given":"Mirjana","non-dropping-particle":"","parse-names":false,"suffix":""},{"dropping-particle":"","family":"Kummerlen","given":"Christine","non-dropping-particle":"","parse-names":false,"suffix":""},{"dropping-particle":"","family":"Monnier","given":"Alexandra","non-dropping-particle":"","parse-names":false,"suffix":""},{"dropping-particle":"","family":"Boulay","given":"Clotilde","non-dropping-particle":"","parse-names":false,"suffix":""},{"dropping-particle":"","family":"Fafi-Kremer","given":"Samira","non-dropping-particle":"","parse-names":false,"suffix":""},{"dropping-particle":"","family":"Castelain","given":"Vincent","non-dropping-particle":"","parse-names":false,"suffix":""},{"dropping-particle":"","family":"Ohana","given":"Mickaël","non-dropping-particle":"","parse-names":false,"suffix":""},{"dropping-particle":"","family":"Anheim","given":"Mathieu","non-dropping-particle":"","parse-names":false,"suffix":""},{"dropping-particle":"","family":"Schneider","given":"Francis","non-dropping-particle":"","parse-names":false,"suffix":""},{"dropping-particle":"","family":"Meziani","given":"Ferhat","non-dropping-particle":"","parse-names":false,"suffix":""}],"container-title":"Critical Care","id":"ITEM-1","issue":"1","issued":{"date-parts":[["2020","8","8"]]},"page":"491","publisher":"BioMed Central","title":"Delirium and encephalopathy in severe COVID-19: A cohort analysis of ICU patients","type":"article-journal","volume":"24"},"uris":["http://www.mendeley.com/documents/?uuid=dd43b796-aa2c-365b-b2f1-303a655f2435"]}],"mendeley":{"formattedCitation":"(Helms et al., 2020)","plainTextFormattedCitation":"(Helms et al., 2020)","previouslyFormattedCitation":"(Helms et al., 2020)"},"properties":{"noteIndex":0},"schema":"https://github.com/citation-style-language/schema/raw/master/csl-citation.json"}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(Helms et al., 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xml:space="preserve">;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{"citationItems":[{"id":"ITEM-1","itemData":{"DOI":"10.1007/s13760-020-01401-7","ISSN":"22402993","PMID":"32524537","abstract":"COVID-19 is predominantly a respiratory disease. However, some cases exhibit other features including Central Nervous System symptoms. In the older adult, COVID-19 may present with atypical symptoms, including delirium and its complications. The objective of this study is to describe the relationship between the new type of coronavirus infection and delirium. Systematic research (Cochrane Library and PubMed) was carried out (only upper time limit: April 2020). Publications found through this indexed search were reviewed and manually screened to identify relevant studies. Search terms used included “COVID-19, Delirium, Dementia, Intensive Care Unit”. We manually added articles identified through other sources (i.e., key journals). Older people are at the greatest risk from COVID-19. If infected, they may present delirium. Moreover, it is not exclusive to older people. Delirium is not inevitable; rather, it is preventable. Delirium prevention programs are even more crucial in the era of COVID-19 and cannot be allowed to wither despite the challenges of integrating delirium prevention with COVID-19 care. An acute change in condition, behaviour, or mental status should prompt a delirium screen. As regards the treatment, it is advisable to use non-pharmacological interventions first where possible. Medication may be needed for patients with agitation where there is intractable distress or high risk to self/others.","author":[{"dropping-particle":"","family":"Cipriani","given":"Gabriele","non-dropping-particle":"","parse-names":false,"suffix":""},{"dropping-particle":"","family":"Danti","given":"Sabrina","non-dropping-particle":"","parse-names":false,"suffix":""},{"dropping-particle":"","family":"Nuti","given":"Angelo","non-dropping-particle":"","parse-names":false,"suffix":""},{"dropping-particle":"","family":"Carlesi","given":"Cecilia","non-dropping-particle":"","parse-names":false,"suffix":""},{"dropping-particle":"","family":"Lucetti","given":"Claudio","non-dropping-particle":"","parse-names":false,"suffix":""},{"dropping-particle":"","family":"Fiorino","given":"Mario","non-dropping-particle":"Di","parse-names":false,"suffix":""}],"container-title":"Acta Neurologica Belgica","id":"ITEM-1","issue":"4","issued":{"date-parts":[["2020","8","1"]]},"page":"927-932","publisher":"Springer","title":"A complication of coronavirus disease 2019: delirium","type":"article-journal","volume":"120"},"uris":["http://www.mendeley.com/documents/?uuid=23ed6b00-1b61-3b3f-af24-58722be2984c"]}],"mendeley":{"formattedCitation":"(Cipriani et al., 2020)","plainTextFormattedCitation":"(Cipriani et al., 2020)","previouslyFormattedCitation":"(Cipriani et al., 2020)"},"properties":{"noteIndex":0},"schema":"https://github.com/citation-style-language/schema/raw/master/csl-citation.json"}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(Cipriani et al., 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w:t>
      </w:r>
    </w:p>
    <w:p w14:paraId="5C0CEF3D"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742DF62"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noProof/>
          <w:sz w:val="24"/>
          <w:szCs w:val="24"/>
        </w:rPr>
        <w:drawing>
          <wp:inline distT="0" distB="0" distL="0" distR="0" wp14:anchorId="6B9F4F7A" wp14:editId="59B8DB4D">
            <wp:extent cx="5035550" cy="2951018"/>
            <wp:effectExtent l="0" t="0" r="12700" b="1905"/>
            <wp:docPr id="13" name="Chart 13">
              <a:extLst xmlns:a="http://schemas.openxmlformats.org/drawingml/2006/main">
                <a:ext uri="{FF2B5EF4-FFF2-40B4-BE49-F238E27FC236}">
                  <a16:creationId xmlns:a16="http://schemas.microsoft.com/office/drawing/2014/main" id="{58C48FE2-4FB4-4AD2-A03E-2B80EE9E9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80B14E"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p>
    <w:p w14:paraId="731EDD2B"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 xml:space="preserve">Figure :10 </w:t>
      </w:r>
    </w:p>
    <w:p w14:paraId="0217A0AD"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t>4.8 Treatment Modalities</w:t>
      </w:r>
    </w:p>
    <w:p w14:paraId="5F7BCF9B"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b/>
          <w:bCs/>
          <w:sz w:val="24"/>
          <w:szCs w:val="24"/>
        </w:rPr>
        <w:t xml:space="preserve">Figure </w:t>
      </w:r>
      <w:bookmarkStart w:id="34" w:name="_Hlk68598934"/>
      <w:r w:rsidRPr="00703566">
        <w:rPr>
          <w:rFonts w:ascii="Times New Roman" w:eastAsia="Calibri" w:hAnsi="Times New Roman" w:cs="Times New Roman"/>
          <w:b/>
          <w:bCs/>
          <w:sz w:val="24"/>
          <w:szCs w:val="24"/>
        </w:rPr>
        <w:t>10</w:t>
      </w:r>
      <w:r w:rsidRPr="00703566">
        <w:rPr>
          <w:rFonts w:ascii="Times New Roman" w:eastAsia="Calibri" w:hAnsi="Times New Roman" w:cs="Times New Roman"/>
          <w:sz w:val="24"/>
          <w:szCs w:val="24"/>
        </w:rPr>
        <w:t xml:space="preserve"> shows treatment modalities adopted for selected samples.48 per cent of the respondents were instructed to take rest. Drugs were provided to 20 per cent and I.V were given to 32 per cent of the respondents.  </w:t>
      </w:r>
      <w:bookmarkEnd w:id="34"/>
      <w:r w:rsidRPr="00703566">
        <w:rPr>
          <w:rFonts w:ascii="Times New Roman" w:eastAsia="Calibri" w:hAnsi="Times New Roman" w:cs="Times New Roman"/>
          <w:sz w:val="24"/>
          <w:szCs w:val="24"/>
        </w:rPr>
        <w:t xml:space="preserve">Treatment modalities were more emphasized for the reduction of symptoms and improve the health status as well as immunity of the respondents. To improve immunity, vitamin tablets were given. </w:t>
      </w:r>
    </w:p>
    <w:p w14:paraId="2BD86772"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In </w:t>
      </w:r>
      <w:proofErr w:type="gramStart"/>
      <w:r w:rsidRPr="00703566">
        <w:rPr>
          <w:rFonts w:ascii="Times New Roman" w:eastAsia="Calibri" w:hAnsi="Times New Roman" w:cs="Times New Roman"/>
          <w:sz w:val="24"/>
          <w:szCs w:val="24"/>
        </w:rPr>
        <w:t>short</w:t>
      </w:r>
      <w:proofErr w:type="gramEnd"/>
      <w:r w:rsidRPr="00703566">
        <w:rPr>
          <w:rFonts w:ascii="Times New Roman" w:eastAsia="Calibri" w:hAnsi="Times New Roman" w:cs="Times New Roman"/>
          <w:sz w:val="24"/>
          <w:szCs w:val="24"/>
        </w:rPr>
        <w:t xml:space="preserve"> the COVID 19 pandemic was found to influence the nutritional profile of elderly negatively. The main determinants of COVID outbreak were found to be socio economic factors and close contact with those having COVID since majority of elderly were working and </w:t>
      </w:r>
      <w:r w:rsidRPr="00703566">
        <w:rPr>
          <w:rFonts w:ascii="Times New Roman" w:eastAsia="Calibri" w:hAnsi="Times New Roman" w:cs="Times New Roman"/>
          <w:sz w:val="24"/>
          <w:szCs w:val="24"/>
        </w:rPr>
        <w:lastRenderedPageBreak/>
        <w:t xml:space="preserve">most of them were malnourished it was difficult for isolation and getting complete rest. Most of them were having anorexia, worsening of co morbidities and some were having problems of delirium too. It was found that the support of family and community along with socio economic improvement is cardinal in protecting elderly form COVID 19 </w:t>
      </w:r>
      <w:proofErr w:type="gramStart"/>
      <w:r w:rsidRPr="00703566">
        <w:rPr>
          <w:rFonts w:ascii="Times New Roman" w:eastAsia="Calibri" w:hAnsi="Times New Roman" w:cs="Times New Roman"/>
          <w:sz w:val="24"/>
          <w:szCs w:val="24"/>
        </w:rPr>
        <w:t>pandemic</w:t>
      </w:r>
      <w:proofErr w:type="gramEnd"/>
      <w:r w:rsidRPr="00703566">
        <w:rPr>
          <w:rFonts w:ascii="Times New Roman" w:eastAsia="Calibri" w:hAnsi="Times New Roman" w:cs="Times New Roman"/>
          <w:sz w:val="24"/>
          <w:szCs w:val="24"/>
        </w:rPr>
        <w:t xml:space="preserve">. Females were found to have prolonged convalescence period and worsening of co morbidities compared to males in the community. Vaccination and awareness on improving immunity and providing financial help and volunteers or medical workers for follow up of health </w:t>
      </w:r>
      <w:proofErr w:type="spellStart"/>
      <w:r w:rsidRPr="00703566">
        <w:rPr>
          <w:rFonts w:ascii="Times New Roman" w:eastAsia="Calibri" w:hAnsi="Times New Roman" w:cs="Times New Roman"/>
          <w:sz w:val="24"/>
          <w:szCs w:val="24"/>
        </w:rPr>
        <w:t>check up</w:t>
      </w:r>
      <w:proofErr w:type="spellEnd"/>
      <w:r w:rsidRPr="00703566">
        <w:rPr>
          <w:rFonts w:ascii="Times New Roman" w:eastAsia="Calibri" w:hAnsi="Times New Roman" w:cs="Times New Roman"/>
          <w:sz w:val="24"/>
          <w:szCs w:val="24"/>
        </w:rPr>
        <w:t xml:space="preserve"> and helping in </w:t>
      </w:r>
      <w:proofErr w:type="spellStart"/>
      <w:r w:rsidRPr="00703566">
        <w:rPr>
          <w:rFonts w:ascii="Times New Roman" w:eastAsia="Calibri" w:hAnsi="Times New Roman" w:cs="Times New Roman"/>
          <w:sz w:val="24"/>
          <w:szCs w:val="24"/>
        </w:rPr>
        <w:t>dayto</w:t>
      </w:r>
      <w:proofErr w:type="spellEnd"/>
      <w:r w:rsidRPr="00703566">
        <w:rPr>
          <w:rFonts w:ascii="Times New Roman" w:eastAsia="Calibri" w:hAnsi="Times New Roman" w:cs="Times New Roman"/>
          <w:sz w:val="24"/>
          <w:szCs w:val="24"/>
        </w:rPr>
        <w:t xml:space="preserve"> day activities will only prove beneficial so that they can isolate and take rest during outbreak. </w:t>
      </w:r>
    </w:p>
    <w:p w14:paraId="28054DBE"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6E8436E1"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613A532B" w14:textId="77777777" w:rsidR="00703566" w:rsidRPr="00703566" w:rsidRDefault="00703566" w:rsidP="00703566">
      <w:pPr>
        <w:spacing w:line="480" w:lineRule="auto"/>
        <w:jc w:val="both"/>
        <w:rPr>
          <w:rFonts w:ascii="Times New Roman" w:eastAsia="Calibri" w:hAnsi="Times New Roman" w:cs="Times New Roman"/>
          <w:sz w:val="24"/>
          <w:szCs w:val="24"/>
        </w:rPr>
      </w:pPr>
    </w:p>
    <w:p w14:paraId="15957529" w14:textId="77777777" w:rsidR="00703566" w:rsidRPr="00703566" w:rsidRDefault="00703566" w:rsidP="00703566">
      <w:pPr>
        <w:spacing w:line="360" w:lineRule="auto"/>
        <w:jc w:val="center"/>
        <w:rPr>
          <w:rFonts w:ascii="Times New Roman" w:hAnsi="Times New Roman" w:cs="Times New Roman"/>
          <w:b/>
          <w:bCs/>
          <w:sz w:val="56"/>
          <w:szCs w:val="56"/>
        </w:rPr>
      </w:pPr>
    </w:p>
    <w:p w14:paraId="21BC65E3" w14:textId="77777777" w:rsidR="00703566" w:rsidRPr="00703566" w:rsidRDefault="00703566" w:rsidP="00703566">
      <w:pPr>
        <w:spacing w:line="360" w:lineRule="auto"/>
        <w:jc w:val="center"/>
        <w:rPr>
          <w:rFonts w:ascii="Times New Roman" w:hAnsi="Times New Roman" w:cs="Times New Roman"/>
          <w:b/>
          <w:bCs/>
          <w:sz w:val="56"/>
          <w:szCs w:val="56"/>
        </w:rPr>
      </w:pPr>
    </w:p>
    <w:p w14:paraId="539D6D96"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ab/>
      </w:r>
    </w:p>
    <w:p w14:paraId="5981EF34" w14:textId="77777777" w:rsidR="00703566" w:rsidRPr="00703566" w:rsidRDefault="00703566" w:rsidP="00703566">
      <w:pPr>
        <w:spacing w:line="360" w:lineRule="auto"/>
        <w:jc w:val="both"/>
        <w:rPr>
          <w:rFonts w:ascii="Times New Roman" w:hAnsi="Times New Roman" w:cs="Times New Roman"/>
          <w:sz w:val="24"/>
          <w:szCs w:val="24"/>
        </w:rPr>
      </w:pPr>
    </w:p>
    <w:p w14:paraId="68C28451" w14:textId="77777777" w:rsidR="00703566" w:rsidRPr="00703566" w:rsidRDefault="00703566" w:rsidP="00703566">
      <w:pPr>
        <w:spacing w:line="360" w:lineRule="auto"/>
        <w:jc w:val="both"/>
        <w:rPr>
          <w:rFonts w:ascii="Times New Roman" w:hAnsi="Times New Roman" w:cs="Times New Roman"/>
          <w:sz w:val="24"/>
          <w:szCs w:val="24"/>
        </w:rPr>
      </w:pPr>
    </w:p>
    <w:p w14:paraId="095AFCE2" w14:textId="77777777" w:rsidR="00703566" w:rsidRPr="00703566" w:rsidRDefault="00703566" w:rsidP="00703566">
      <w:pPr>
        <w:spacing w:line="360" w:lineRule="auto"/>
        <w:jc w:val="both"/>
        <w:rPr>
          <w:rFonts w:ascii="Times New Roman" w:hAnsi="Times New Roman" w:cs="Times New Roman"/>
          <w:sz w:val="24"/>
          <w:szCs w:val="24"/>
        </w:rPr>
      </w:pPr>
    </w:p>
    <w:p w14:paraId="02A41B55" w14:textId="77777777" w:rsidR="00703566" w:rsidRPr="00703566" w:rsidRDefault="00703566" w:rsidP="00703566">
      <w:pPr>
        <w:spacing w:line="360" w:lineRule="auto"/>
        <w:jc w:val="both"/>
        <w:rPr>
          <w:rFonts w:ascii="Times New Roman" w:hAnsi="Times New Roman" w:cs="Times New Roman"/>
          <w:sz w:val="24"/>
          <w:szCs w:val="24"/>
        </w:rPr>
      </w:pPr>
    </w:p>
    <w:p w14:paraId="6CB94C51" w14:textId="77777777" w:rsidR="00703566" w:rsidRPr="00703566" w:rsidRDefault="00703566" w:rsidP="00703566">
      <w:pPr>
        <w:spacing w:line="360" w:lineRule="auto"/>
        <w:jc w:val="both"/>
        <w:rPr>
          <w:rFonts w:ascii="Times New Roman" w:hAnsi="Times New Roman" w:cs="Times New Roman"/>
          <w:sz w:val="24"/>
          <w:szCs w:val="24"/>
        </w:rPr>
      </w:pPr>
    </w:p>
    <w:p w14:paraId="1BB1A15D" w14:textId="77777777" w:rsidR="00703566" w:rsidRPr="00703566" w:rsidRDefault="00703566" w:rsidP="00703566">
      <w:pPr>
        <w:spacing w:line="360" w:lineRule="auto"/>
        <w:jc w:val="both"/>
        <w:rPr>
          <w:rFonts w:ascii="Times New Roman" w:hAnsi="Times New Roman" w:cs="Times New Roman"/>
          <w:sz w:val="24"/>
          <w:szCs w:val="24"/>
        </w:rPr>
      </w:pPr>
    </w:p>
    <w:p w14:paraId="0888206A" w14:textId="77777777" w:rsidR="00703566" w:rsidRPr="00703566" w:rsidRDefault="00703566" w:rsidP="00703566">
      <w:pPr>
        <w:spacing w:line="360" w:lineRule="auto"/>
        <w:jc w:val="both"/>
        <w:rPr>
          <w:rFonts w:ascii="Times New Roman" w:hAnsi="Times New Roman" w:cs="Times New Roman"/>
          <w:sz w:val="24"/>
          <w:szCs w:val="24"/>
        </w:rPr>
      </w:pPr>
    </w:p>
    <w:p w14:paraId="69503BC0" w14:textId="77777777" w:rsidR="00703566" w:rsidRPr="00703566" w:rsidRDefault="00703566" w:rsidP="00703566">
      <w:pPr>
        <w:spacing w:line="360" w:lineRule="auto"/>
        <w:jc w:val="both"/>
        <w:rPr>
          <w:rFonts w:ascii="Times New Roman" w:hAnsi="Times New Roman" w:cs="Times New Roman"/>
          <w:sz w:val="24"/>
          <w:szCs w:val="24"/>
        </w:rPr>
      </w:pPr>
    </w:p>
    <w:p w14:paraId="46112C43" w14:textId="77777777" w:rsidR="00703566" w:rsidRPr="00703566" w:rsidRDefault="00703566" w:rsidP="00703566">
      <w:pPr>
        <w:spacing w:line="360" w:lineRule="auto"/>
        <w:jc w:val="both"/>
        <w:rPr>
          <w:rFonts w:ascii="Times New Roman" w:hAnsi="Times New Roman" w:cs="Times New Roman"/>
          <w:sz w:val="24"/>
          <w:szCs w:val="24"/>
        </w:rPr>
      </w:pPr>
    </w:p>
    <w:p w14:paraId="1BDBD551" w14:textId="77777777" w:rsidR="00703566" w:rsidRPr="00703566" w:rsidRDefault="00703566" w:rsidP="00703566">
      <w:pPr>
        <w:spacing w:line="360" w:lineRule="auto"/>
        <w:jc w:val="both"/>
        <w:rPr>
          <w:rFonts w:ascii="Times New Roman" w:hAnsi="Times New Roman" w:cs="Times New Roman"/>
          <w:sz w:val="24"/>
          <w:szCs w:val="24"/>
        </w:rPr>
      </w:pPr>
    </w:p>
    <w:p w14:paraId="5B934922" w14:textId="77777777" w:rsidR="00703566" w:rsidRPr="00703566" w:rsidRDefault="00703566" w:rsidP="00703566">
      <w:pPr>
        <w:spacing w:line="360" w:lineRule="auto"/>
        <w:jc w:val="both"/>
        <w:rPr>
          <w:rFonts w:ascii="Times New Roman" w:hAnsi="Times New Roman" w:cs="Times New Roman"/>
          <w:sz w:val="24"/>
          <w:szCs w:val="24"/>
        </w:rPr>
      </w:pPr>
    </w:p>
    <w:p w14:paraId="3C698CD8" w14:textId="77777777" w:rsidR="00703566" w:rsidRPr="00703566" w:rsidRDefault="00703566" w:rsidP="00703566">
      <w:pPr>
        <w:spacing w:line="360" w:lineRule="auto"/>
        <w:jc w:val="both"/>
        <w:rPr>
          <w:rFonts w:ascii="Times New Roman" w:hAnsi="Times New Roman" w:cs="Times New Roman"/>
          <w:sz w:val="24"/>
          <w:szCs w:val="24"/>
        </w:rPr>
      </w:pPr>
    </w:p>
    <w:p w14:paraId="384D1F19" w14:textId="77777777" w:rsidR="00703566" w:rsidRPr="00703566" w:rsidRDefault="00703566" w:rsidP="00703566">
      <w:pPr>
        <w:spacing w:line="360" w:lineRule="auto"/>
        <w:jc w:val="both"/>
        <w:rPr>
          <w:rFonts w:ascii="Times New Roman" w:hAnsi="Times New Roman" w:cs="Times New Roman"/>
          <w:sz w:val="24"/>
          <w:szCs w:val="24"/>
        </w:rPr>
      </w:pPr>
    </w:p>
    <w:p w14:paraId="01AED9C1" w14:textId="77777777" w:rsidR="00703566" w:rsidRPr="00703566" w:rsidRDefault="00703566" w:rsidP="00703566">
      <w:pPr>
        <w:spacing w:line="360" w:lineRule="auto"/>
        <w:jc w:val="both"/>
        <w:rPr>
          <w:rFonts w:ascii="Times New Roman" w:hAnsi="Times New Roman" w:cs="Times New Roman"/>
          <w:sz w:val="24"/>
          <w:szCs w:val="24"/>
        </w:rPr>
      </w:pPr>
    </w:p>
    <w:p w14:paraId="2BE46229" w14:textId="77777777" w:rsidR="00703566" w:rsidRPr="00703566" w:rsidRDefault="00703566" w:rsidP="00703566">
      <w:pPr>
        <w:spacing w:line="360" w:lineRule="auto"/>
        <w:jc w:val="both"/>
        <w:rPr>
          <w:rFonts w:ascii="Times New Roman" w:hAnsi="Times New Roman" w:cs="Times New Roman"/>
          <w:sz w:val="24"/>
          <w:szCs w:val="24"/>
        </w:rPr>
      </w:pPr>
    </w:p>
    <w:p w14:paraId="73967657" w14:textId="77777777" w:rsidR="00703566" w:rsidRPr="00703566" w:rsidRDefault="00703566" w:rsidP="00703566">
      <w:pPr>
        <w:spacing w:line="360" w:lineRule="auto"/>
        <w:jc w:val="both"/>
        <w:rPr>
          <w:rFonts w:ascii="Times New Roman" w:hAnsi="Times New Roman" w:cs="Times New Roman"/>
          <w:sz w:val="24"/>
          <w:szCs w:val="24"/>
        </w:rPr>
      </w:pPr>
    </w:p>
    <w:p w14:paraId="6E46E854" w14:textId="77777777" w:rsidR="00703566" w:rsidRPr="00703566" w:rsidRDefault="00703566" w:rsidP="00703566">
      <w:pPr>
        <w:spacing w:line="360" w:lineRule="auto"/>
        <w:jc w:val="both"/>
        <w:rPr>
          <w:rFonts w:ascii="Times New Roman" w:hAnsi="Times New Roman" w:cs="Times New Roman"/>
          <w:sz w:val="24"/>
          <w:szCs w:val="24"/>
        </w:rPr>
      </w:pPr>
    </w:p>
    <w:p w14:paraId="314BE11E" w14:textId="77777777" w:rsidR="00703566" w:rsidRPr="00703566" w:rsidRDefault="00703566" w:rsidP="00703566">
      <w:pPr>
        <w:spacing w:line="360" w:lineRule="auto"/>
        <w:jc w:val="both"/>
        <w:rPr>
          <w:rFonts w:ascii="Times New Roman" w:hAnsi="Times New Roman" w:cs="Times New Roman"/>
          <w:sz w:val="24"/>
          <w:szCs w:val="24"/>
        </w:rPr>
      </w:pPr>
    </w:p>
    <w:p w14:paraId="47080674"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r w:rsidRPr="00703566">
        <w:rPr>
          <w:rFonts w:ascii="Times New Roman" w:hAnsi="Times New Roman" w:cs="Times New Roman"/>
          <w:b/>
          <w:bCs/>
          <w:sz w:val="48"/>
          <w:szCs w:val="48"/>
        </w:rPr>
        <w:t>SUMMARY AND CONCLUSIONS</w:t>
      </w:r>
    </w:p>
    <w:p w14:paraId="19EC5FB8"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1C20C593"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304866EE"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64A179B9"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21C79011"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7FEE9831"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7F517C98" w14:textId="77777777" w:rsidR="00703566" w:rsidRPr="00703566" w:rsidRDefault="00703566" w:rsidP="00703566">
      <w:pPr>
        <w:spacing w:line="360" w:lineRule="auto"/>
        <w:jc w:val="both"/>
        <w:rPr>
          <w:rFonts w:ascii="Times New Roman" w:hAnsi="Times New Roman" w:cs="Times New Roman"/>
          <w:b/>
          <w:bCs/>
          <w:sz w:val="48"/>
          <w:szCs w:val="48"/>
        </w:rPr>
      </w:pPr>
    </w:p>
    <w:p w14:paraId="7425C987" w14:textId="77777777" w:rsidR="00703566" w:rsidRPr="00703566" w:rsidRDefault="00703566" w:rsidP="00703566">
      <w:pPr>
        <w:spacing w:line="480" w:lineRule="auto"/>
        <w:jc w:val="center"/>
        <w:rPr>
          <w:rFonts w:ascii="Times New Roman" w:hAnsi="Times New Roman" w:cs="Times New Roman"/>
          <w:b/>
          <w:bCs/>
          <w:sz w:val="28"/>
          <w:szCs w:val="28"/>
          <w:lang w:val="en-US"/>
        </w:rPr>
      </w:pPr>
      <w:r w:rsidRPr="00703566">
        <w:rPr>
          <w:rFonts w:ascii="Times New Roman" w:hAnsi="Times New Roman" w:cs="Times New Roman"/>
          <w:b/>
          <w:bCs/>
          <w:sz w:val="28"/>
          <w:szCs w:val="28"/>
          <w:lang w:val="en-US"/>
        </w:rPr>
        <w:lastRenderedPageBreak/>
        <w:t>CHAPTER - 5</w:t>
      </w:r>
    </w:p>
    <w:p w14:paraId="68B1390D" w14:textId="77777777" w:rsidR="00703566" w:rsidRPr="00703566" w:rsidRDefault="00703566" w:rsidP="00703566">
      <w:pPr>
        <w:spacing w:line="480" w:lineRule="auto"/>
        <w:ind w:left="2160"/>
        <w:rPr>
          <w:rFonts w:ascii="Times New Roman" w:hAnsi="Times New Roman" w:cs="Times New Roman"/>
          <w:b/>
          <w:bCs/>
          <w:sz w:val="28"/>
          <w:szCs w:val="28"/>
          <w:lang w:val="en-US"/>
        </w:rPr>
      </w:pPr>
      <w:r w:rsidRPr="00703566">
        <w:rPr>
          <w:rFonts w:ascii="Times New Roman" w:hAnsi="Times New Roman" w:cs="Times New Roman"/>
          <w:b/>
          <w:bCs/>
          <w:sz w:val="28"/>
          <w:szCs w:val="28"/>
          <w:lang w:val="en-US"/>
        </w:rPr>
        <w:t>SUMMARY AND CONCLUSIONS</w:t>
      </w:r>
    </w:p>
    <w:p w14:paraId="71E68F0C"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Covid 19 is the ongoing epidemic in the world that alter the life of every human being in the world. Novel corona virus was first reported in Wuhan, China </w:t>
      </w:r>
      <w:r w:rsidRPr="00703566">
        <w:rPr>
          <w:rFonts w:ascii="Times New Roman" w:eastAsia="Calibri" w:hAnsi="Times New Roman" w:cs="Times New Roman"/>
          <w:sz w:val="24"/>
          <w:szCs w:val="24"/>
          <w:lang w:val="en-US"/>
        </w:rPr>
        <w:fldChar w:fldCharType="begin" w:fldLock="1"/>
      </w:r>
      <w:r w:rsidRPr="00703566">
        <w:rPr>
          <w:rFonts w:ascii="Times New Roman" w:eastAsia="Calibri" w:hAnsi="Times New Roman" w:cs="Times New Roman"/>
          <w:sz w:val="24"/>
          <w:szCs w:val="24"/>
          <w:lang w:val="en-US"/>
        </w:rPr>
        <w:instrText>ADDIN CSL_CITATION {"citationItems":[{"id":"ITEM-1","itemData":{"DOI":"10.1016/j.jaut.2020.102433","ISSN":"10959157","abstract":"Coronavirus disease (COVID-19) is caused by SARS-COV2 and represents the causative agent of a potentially fatal disease that is of great global public health concern. Based on the large number of infected people that were exposed to the wet animal market in Wuhan City, China, it is suggested that this is likely the zoonotic origin of COVID-19. Person-to-person transmission of COVID-19 infection led to the isolation of patients that were subsequently administered a variety of treatments. Extensive measures to reduce person-to-person transmission of COVID-19 have been implemented to control the current outbreak. Special attention and efforts to protect or reduce transmission should be applied in susceptible populations including children, health care providers, and elderly people. In this review, we highlights the symptoms, epidemiology, transmission, pathogenesis, phylogenetic analysis and future directions to control the spread of this fatal disease.","author":[{"dropping-particle":"","family":"Rothan","given":"Hussin A.","non-dropping-particle":"","parse-names":false,"suffix":""},{"dropping-particle":"","family":"Byrareddy","given":"Siddappa N.","non-dropping-particle":"","parse-names":false,"suffix":""}],"container-title":"Journal of Autoimmunity","id":"ITEM-1","issued":{"date-parts":[["2020"]]},"publisher":"Elsevier","title":"The epidemiology and pathogenesis of coronavirus disease (COVID-19) outbreak","type":"article","volume":"109"},"uris":["http://www.mendeley.com/documents/?uuid=95e1cf2e-e829-398b-88d9-e5e274480767"]}],"mendeley":{"formattedCitation":"(Rothan &amp; Byrareddy, 2020)","plainTextFormattedCitation":"(Rothan &amp; Byrareddy, 2020)","previouslyFormattedCitation":"(Rothan &amp; Byrareddy, 2020)"},"properties":{"noteIndex":0},"schema":"https://github.com/citation-style-language/schema/raw/master/csl-citation.json"}</w:instrText>
      </w:r>
      <w:r w:rsidRPr="00703566">
        <w:rPr>
          <w:rFonts w:ascii="Times New Roman" w:eastAsia="Calibri" w:hAnsi="Times New Roman" w:cs="Times New Roman"/>
          <w:sz w:val="24"/>
          <w:szCs w:val="24"/>
          <w:lang w:val="en-US"/>
        </w:rPr>
        <w:fldChar w:fldCharType="separate"/>
      </w:r>
      <w:r w:rsidRPr="00703566">
        <w:rPr>
          <w:rFonts w:ascii="Times New Roman" w:eastAsia="Calibri" w:hAnsi="Times New Roman" w:cs="Times New Roman"/>
          <w:noProof/>
          <w:sz w:val="24"/>
          <w:szCs w:val="24"/>
          <w:lang w:val="en-US"/>
        </w:rPr>
        <w:t>(Rothan &amp; Byrareddy, 2020)</w:t>
      </w:r>
      <w:r w:rsidRPr="00703566">
        <w:rPr>
          <w:rFonts w:ascii="Times New Roman" w:eastAsia="Calibri" w:hAnsi="Times New Roman" w:cs="Times New Roman"/>
          <w:sz w:val="24"/>
          <w:szCs w:val="24"/>
          <w:lang w:val="en-US"/>
        </w:rPr>
        <w:fldChar w:fldCharType="end"/>
      </w:r>
      <w:r w:rsidRPr="00703566">
        <w:rPr>
          <w:rFonts w:ascii="Times New Roman" w:eastAsia="Calibri" w:hAnsi="Times New Roman" w:cs="Times New Roman"/>
          <w:sz w:val="24"/>
          <w:szCs w:val="24"/>
          <w:lang w:val="en-US"/>
        </w:rPr>
        <w:t>.  In 2020 March World Health Organization declare the uprising of corona disease as a global pandemic. Corona virus adversely affected the life of every human being. Kerala was the first state in India affected by COVID-19, and the first instance of coronavirus was reported on 30 January in Thrissur District in 2020. By the beginning of March, the state soon had the largest number of active cases, predominantly in India, owing to a large number of imported cases from other states and nations. During epidemic, quality of life of people in Kerala have improved significantly through government initiatives, that has significant effect on the survival of epidemic period. Even before the first case of covid 19, Kerala introduce preventive strategies to the further control of epidemic.</w:t>
      </w:r>
    </w:p>
    <w:p w14:paraId="350AABB5"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Older adults, as well as those with ongoing medical conditions, are the most vulnerable groups to COVID-19 (D' Adamo et al., 2020). Geriatrics was at higher risk of SARS –</w:t>
      </w:r>
      <w:proofErr w:type="spellStart"/>
      <w:r w:rsidRPr="00703566">
        <w:rPr>
          <w:rFonts w:ascii="Times New Roman" w:eastAsia="Calibri" w:hAnsi="Times New Roman" w:cs="Times New Roman"/>
          <w:sz w:val="24"/>
          <w:szCs w:val="24"/>
          <w:lang w:val="en-US"/>
        </w:rPr>
        <w:t>CoV</w:t>
      </w:r>
      <w:proofErr w:type="spellEnd"/>
      <w:r w:rsidRPr="00703566">
        <w:rPr>
          <w:rFonts w:ascii="Times New Roman" w:eastAsia="Calibri" w:hAnsi="Times New Roman" w:cs="Times New Roman"/>
          <w:sz w:val="24"/>
          <w:szCs w:val="24"/>
          <w:lang w:val="en-US"/>
        </w:rPr>
        <w:t xml:space="preserve"> -2 during the COVID – 19 </w:t>
      </w:r>
      <w:proofErr w:type="gramStart"/>
      <w:r w:rsidRPr="00703566">
        <w:rPr>
          <w:rFonts w:ascii="Times New Roman" w:eastAsia="Calibri" w:hAnsi="Times New Roman" w:cs="Times New Roman"/>
          <w:sz w:val="24"/>
          <w:szCs w:val="24"/>
          <w:lang w:val="en-US"/>
        </w:rPr>
        <w:t>pandemic</w:t>
      </w:r>
      <w:proofErr w:type="gramEnd"/>
      <w:r w:rsidRPr="00703566">
        <w:rPr>
          <w:rFonts w:ascii="Times New Roman" w:eastAsia="Calibri" w:hAnsi="Times New Roman" w:cs="Times New Roman"/>
          <w:sz w:val="24"/>
          <w:szCs w:val="24"/>
          <w:lang w:val="en-US"/>
        </w:rPr>
        <w:t>. COVID-19 is more common in the elderly population, the incidence of COVID-19 is higher in the geriatric population due to maturing physiologic changes, reduced immune function, multi-organ failure, chronic diseases, and other factors that increase the risk of corona virus. Corona virus has a higher risk of causing serious illness in the elderly.</w:t>
      </w:r>
    </w:p>
    <w:p w14:paraId="756A0B67"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According to 2011 census Kerala accommodate 4 million older adults. The census report shows that, in India 8.6 per cent old adult are above 60, in which share of Kerala in elderly in total older population is 4 per cent that indicates Kerala has first rank in elderly population. The chances of getting corona virus among the elderly is more in Kerala, so this study is more </w:t>
      </w:r>
      <w:r w:rsidRPr="00703566">
        <w:rPr>
          <w:rFonts w:ascii="Times New Roman" w:eastAsia="Calibri" w:hAnsi="Times New Roman" w:cs="Times New Roman"/>
          <w:sz w:val="24"/>
          <w:szCs w:val="24"/>
          <w:lang w:val="en-US"/>
        </w:rPr>
        <w:lastRenderedPageBreak/>
        <w:t xml:space="preserve">relevant to this period. The study entitled </w:t>
      </w:r>
      <w:r w:rsidRPr="00703566">
        <w:rPr>
          <w:rFonts w:ascii="Times New Roman" w:eastAsia="Calibri" w:hAnsi="Times New Roman" w:cs="Times New Roman"/>
          <w:b/>
          <w:bCs/>
          <w:sz w:val="24"/>
          <w:szCs w:val="24"/>
          <w:lang w:val="en-US"/>
        </w:rPr>
        <w:t>“</w:t>
      </w:r>
      <w:r w:rsidRPr="00703566">
        <w:rPr>
          <w:rFonts w:ascii="Times New Roman" w:eastAsia="Calibri" w:hAnsi="Times New Roman" w:cs="Times New Roman"/>
          <w:b/>
          <w:sz w:val="24"/>
          <w:szCs w:val="24"/>
          <w:lang w:val="en-US"/>
        </w:rPr>
        <w:t xml:space="preserve">Determinants of COVID Outbreak and Nutritional Profile of Geriatric COVID -19 Patients in Coastal Areas of </w:t>
      </w:r>
      <w:proofErr w:type="gramStart"/>
      <w:r w:rsidRPr="00703566">
        <w:rPr>
          <w:rFonts w:ascii="Times New Roman" w:eastAsia="Calibri" w:hAnsi="Times New Roman" w:cs="Times New Roman"/>
          <w:b/>
          <w:sz w:val="24"/>
          <w:szCs w:val="24"/>
          <w:lang w:val="en-US"/>
        </w:rPr>
        <w:t>Alappuzha</w:t>
      </w:r>
      <w:r w:rsidRPr="00703566">
        <w:rPr>
          <w:rFonts w:ascii="Times New Roman" w:eastAsia="Calibri" w:hAnsi="Times New Roman" w:cs="Times New Roman"/>
          <w:b/>
          <w:bCs/>
          <w:sz w:val="24"/>
          <w:szCs w:val="24"/>
          <w:lang w:val="en-US"/>
        </w:rPr>
        <w:t xml:space="preserve"> </w:t>
      </w:r>
      <w:r w:rsidRPr="00703566">
        <w:rPr>
          <w:rFonts w:ascii="Times New Roman" w:eastAsia="Calibri" w:hAnsi="Times New Roman" w:cs="Times New Roman"/>
          <w:sz w:val="24"/>
          <w:szCs w:val="24"/>
          <w:lang w:val="en-US"/>
        </w:rPr>
        <w:t>”</w:t>
      </w:r>
      <w:proofErr w:type="gramEnd"/>
      <w:r w:rsidRPr="00703566">
        <w:rPr>
          <w:rFonts w:ascii="Times New Roman" w:eastAsia="Calibri" w:hAnsi="Times New Roman" w:cs="Times New Roman"/>
          <w:sz w:val="24"/>
          <w:szCs w:val="24"/>
          <w:lang w:val="en-US"/>
        </w:rPr>
        <w:t xml:space="preserve"> was coined with the following objectives:</w:t>
      </w:r>
    </w:p>
    <w:p w14:paraId="004467A8" w14:textId="77777777" w:rsidR="00703566" w:rsidRPr="00703566" w:rsidRDefault="00703566" w:rsidP="00703566">
      <w:pPr>
        <w:numPr>
          <w:ilvl w:val="0"/>
          <w:numId w:val="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assess the nutrition and health profile of geriatrics at pre and post pandemic period</w:t>
      </w:r>
    </w:p>
    <w:p w14:paraId="5B49479C" w14:textId="77777777" w:rsidR="00703566" w:rsidRPr="00703566" w:rsidRDefault="00703566" w:rsidP="00703566">
      <w:pPr>
        <w:numPr>
          <w:ilvl w:val="0"/>
          <w:numId w:val="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determine the reasons of COVID 19 among geriatrics</w:t>
      </w:r>
    </w:p>
    <w:p w14:paraId="254D12A0" w14:textId="77777777" w:rsidR="00703566" w:rsidRPr="00703566" w:rsidRDefault="00703566" w:rsidP="00703566">
      <w:pPr>
        <w:numPr>
          <w:ilvl w:val="0"/>
          <w:numId w:val="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examine the psychological well -being during COVID- 19 among geriatrics</w:t>
      </w:r>
    </w:p>
    <w:p w14:paraId="18D05C05" w14:textId="77777777" w:rsidR="00703566" w:rsidRPr="00703566" w:rsidRDefault="00703566" w:rsidP="00703566">
      <w:pPr>
        <w:numPr>
          <w:ilvl w:val="0"/>
          <w:numId w:val="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find the treatment modality adopted for geriatric during COVID- 19 and strategies for fostering healthy ageing</w:t>
      </w:r>
    </w:p>
    <w:p w14:paraId="0C66E1C5" w14:textId="77777777" w:rsidR="00703566" w:rsidRPr="00703566" w:rsidRDefault="00703566" w:rsidP="00703566">
      <w:pPr>
        <w:spacing w:line="480" w:lineRule="auto"/>
        <w:jc w:val="both"/>
        <w:rPr>
          <w:rFonts w:ascii="Times New Roman" w:hAnsi="Times New Roman" w:cs="Times New Roman"/>
          <w:sz w:val="24"/>
          <w:szCs w:val="24"/>
          <w:lang w:val="en-US"/>
        </w:rPr>
      </w:pPr>
    </w:p>
    <w:p w14:paraId="61EFEDA6" w14:textId="77777777" w:rsidR="00703566" w:rsidRPr="00703566" w:rsidRDefault="00703566" w:rsidP="00703566">
      <w:pPr>
        <w:spacing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The area selected for study was coastal areas of Cherthala taluk (</w:t>
      </w:r>
      <w:proofErr w:type="spellStart"/>
      <w:r w:rsidRPr="00703566">
        <w:rPr>
          <w:rFonts w:ascii="Times New Roman" w:eastAsia="Calibri" w:hAnsi="Times New Roman" w:cs="Times New Roman"/>
          <w:sz w:val="24"/>
          <w:szCs w:val="24"/>
          <w:lang w:val="en-US"/>
        </w:rPr>
        <w:t>Kadakkarapally</w:t>
      </w:r>
      <w:proofErr w:type="spellEnd"/>
      <w:r w:rsidRPr="00703566">
        <w:rPr>
          <w:rFonts w:ascii="Times New Roman" w:eastAsia="Calibri" w:hAnsi="Times New Roman" w:cs="Times New Roman"/>
          <w:sz w:val="24"/>
          <w:szCs w:val="24"/>
          <w:lang w:val="en-US"/>
        </w:rPr>
        <w:t xml:space="preserve"> Panchayath) of Alappuzha district in Kerala. 100 samples of old age people from Cherthala taluk were taken, out of which 50 are females and 50 are males. Above 55 years old age were selected for the study through purposive sampling method from registers provided by health workers. Personal interview and telephonic interview </w:t>
      </w:r>
      <w:proofErr w:type="gramStart"/>
      <w:r w:rsidRPr="00703566">
        <w:rPr>
          <w:rFonts w:ascii="Times New Roman" w:eastAsia="Calibri" w:hAnsi="Times New Roman" w:cs="Times New Roman"/>
          <w:sz w:val="24"/>
          <w:szCs w:val="24"/>
          <w:lang w:val="en-US"/>
        </w:rPr>
        <w:t>was</w:t>
      </w:r>
      <w:proofErr w:type="gramEnd"/>
      <w:r w:rsidRPr="00703566">
        <w:rPr>
          <w:rFonts w:ascii="Times New Roman" w:eastAsia="Calibri" w:hAnsi="Times New Roman" w:cs="Times New Roman"/>
          <w:sz w:val="24"/>
          <w:szCs w:val="24"/>
          <w:lang w:val="en-US"/>
        </w:rPr>
        <w:t xml:space="preserve"> conducted for data collection, because older people were not aware about new technology. Data were collected not only directly from older people but also through close relatives of those who have difficulty in answering. </w:t>
      </w:r>
    </w:p>
    <w:p w14:paraId="4C7CE427" w14:textId="77777777" w:rsidR="00703566" w:rsidRPr="00703566" w:rsidRDefault="00703566" w:rsidP="00703566">
      <w:pPr>
        <w:tabs>
          <w:tab w:val="left" w:pos="3975"/>
        </w:tabs>
        <w:spacing w:before="240" w:line="480" w:lineRule="auto"/>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lang w:val="en-US"/>
        </w:rPr>
        <w:t xml:space="preserve">A structured questionnaire was used to collect data from samples, it contains food frequency questionnaire (FFQ), Mini Nutritional Assessment tool (MNA), Depression Anxiety Stress Scale (DASS), 24- hour recall and SCOFF questionnaire. </w:t>
      </w:r>
      <w:r w:rsidRPr="00703566">
        <w:rPr>
          <w:rFonts w:ascii="Times New Roman" w:hAnsi="Times New Roman" w:cs="Times New Roman"/>
          <w:sz w:val="24"/>
          <w:szCs w:val="24"/>
        </w:rPr>
        <w:t>The combinations of these questionnaires were used for collecting the data. Pilot study was done among 10 samples and necessary changes were made.</w:t>
      </w:r>
      <w:r w:rsidRPr="00703566">
        <w:rPr>
          <w:rFonts w:ascii="Times New Roman" w:eastAsia="Calibri" w:hAnsi="Times New Roman" w:cs="Times New Roman"/>
          <w:sz w:val="24"/>
          <w:szCs w:val="24"/>
        </w:rPr>
        <w:t xml:space="preserve"> </w:t>
      </w:r>
      <w:r w:rsidRPr="00703566">
        <w:rPr>
          <w:rFonts w:ascii="Times New Roman" w:eastAsia="Calibri" w:hAnsi="Times New Roman" w:cs="Times New Roman"/>
          <w:sz w:val="24"/>
          <w:szCs w:val="24"/>
          <w:shd w:val="clear" w:color="auto" w:fill="FFFFFF"/>
        </w:rPr>
        <w:t xml:space="preserve">After collecting the data, it was </w:t>
      </w:r>
      <w:proofErr w:type="spellStart"/>
      <w:r w:rsidRPr="00703566">
        <w:rPr>
          <w:rFonts w:ascii="Times New Roman" w:eastAsia="Calibri" w:hAnsi="Times New Roman" w:cs="Times New Roman"/>
          <w:sz w:val="24"/>
          <w:szCs w:val="24"/>
          <w:shd w:val="clear" w:color="auto" w:fill="FFFFFF"/>
        </w:rPr>
        <w:t>analyzed</w:t>
      </w:r>
      <w:proofErr w:type="spellEnd"/>
      <w:r w:rsidRPr="00703566">
        <w:rPr>
          <w:rFonts w:ascii="Times New Roman" w:eastAsia="Calibri" w:hAnsi="Times New Roman" w:cs="Times New Roman"/>
          <w:sz w:val="24"/>
          <w:szCs w:val="24"/>
          <w:shd w:val="clear" w:color="auto" w:fill="FFFFFF"/>
        </w:rPr>
        <w:t xml:space="preserve"> and subjected to statistical analysis using SPSS (Statistical Package for Social Sciences, version 23).  KS test, t test, Chi-square test, and Wilcoxon signed rank test were used for statistical analysis.</w:t>
      </w:r>
    </w:p>
    <w:p w14:paraId="6E4986C1" w14:textId="77777777" w:rsidR="00703566" w:rsidRPr="00703566" w:rsidRDefault="00703566" w:rsidP="00703566">
      <w:pPr>
        <w:spacing w:line="480" w:lineRule="auto"/>
        <w:jc w:val="both"/>
        <w:rPr>
          <w:rFonts w:ascii="Times New Roman" w:eastAsia="Calibri" w:hAnsi="Times New Roman" w:cs="Times New Roman"/>
          <w:b/>
          <w:bCs/>
          <w:sz w:val="24"/>
          <w:szCs w:val="24"/>
          <w:shd w:val="clear" w:color="auto" w:fill="FFFFFF"/>
        </w:rPr>
      </w:pPr>
    </w:p>
    <w:p w14:paraId="15C38B1C" w14:textId="77777777" w:rsidR="00703566" w:rsidRPr="00703566" w:rsidRDefault="00703566" w:rsidP="00703566">
      <w:pPr>
        <w:spacing w:line="480" w:lineRule="auto"/>
        <w:jc w:val="both"/>
        <w:rPr>
          <w:rFonts w:ascii="Times New Roman" w:eastAsia="Calibri" w:hAnsi="Times New Roman" w:cs="Times New Roman"/>
          <w:b/>
          <w:bCs/>
          <w:sz w:val="24"/>
          <w:szCs w:val="24"/>
          <w:shd w:val="clear" w:color="auto" w:fill="FFFFFF"/>
        </w:rPr>
      </w:pPr>
      <w:r w:rsidRPr="00703566">
        <w:rPr>
          <w:rFonts w:ascii="Times New Roman" w:eastAsia="Calibri" w:hAnsi="Times New Roman" w:cs="Times New Roman"/>
          <w:b/>
          <w:bCs/>
          <w:sz w:val="24"/>
          <w:szCs w:val="24"/>
          <w:shd w:val="clear" w:color="auto" w:fill="FFFFFF"/>
        </w:rPr>
        <w:lastRenderedPageBreak/>
        <w:t>The salient findings of the study are as follows:</w:t>
      </w:r>
    </w:p>
    <w:p w14:paraId="09BC615B" w14:textId="77777777" w:rsidR="00703566" w:rsidRPr="00703566" w:rsidRDefault="00703566" w:rsidP="00703566">
      <w:pPr>
        <w:numPr>
          <w:ilvl w:val="0"/>
          <w:numId w:val="7"/>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Majority (40%) of the samples were in</w:t>
      </w:r>
      <w:r w:rsidRPr="00703566">
        <w:rPr>
          <w:rFonts w:ascii="Times New Roman" w:eastAsia="Calibri" w:hAnsi="Times New Roman" w:cs="Times New Roman"/>
          <w:sz w:val="24"/>
          <w:szCs w:val="24"/>
        </w:rPr>
        <w:t xml:space="preserve"> in the age group of 55-64 years, followed by 65 -74 (39%)</w:t>
      </w:r>
      <w:r w:rsidRPr="00703566">
        <w:rPr>
          <w:rFonts w:ascii="Times New Roman" w:eastAsia="Calibri" w:hAnsi="Times New Roman" w:cs="Times New Roman"/>
          <w:sz w:val="24"/>
          <w:szCs w:val="24"/>
          <w:shd w:val="clear" w:color="auto" w:fill="FFFFFF"/>
        </w:rPr>
        <w:t>.</w:t>
      </w:r>
    </w:p>
    <w:p w14:paraId="1AEF8BAB"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shd w:val="clear" w:color="auto" w:fill="FFFFFF"/>
        </w:rPr>
      </w:pPr>
      <w:r w:rsidRPr="00703566">
        <w:rPr>
          <w:rFonts w:ascii="Times New Roman" w:eastAsia="Calibri" w:hAnsi="Times New Roman" w:cs="Times New Roman"/>
          <w:sz w:val="24"/>
          <w:szCs w:val="24"/>
        </w:rPr>
        <w:t>This study shows that middle sized family suffer from infection more, because of the area used for the study contains middle sized family (4-5family members).</w:t>
      </w:r>
    </w:p>
    <w:p w14:paraId="72CDEE05"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shd w:val="clear" w:color="auto" w:fill="FFFFFF"/>
        </w:rPr>
      </w:pPr>
      <w:r w:rsidRPr="00703566">
        <w:rPr>
          <w:rFonts w:ascii="Times New Roman" w:eastAsia="Calibri" w:hAnsi="Times New Roman" w:cs="Times New Roman"/>
          <w:sz w:val="24"/>
          <w:szCs w:val="24"/>
        </w:rPr>
        <w:t xml:space="preserve">When women were compared to men, it was found that majority of the men about 65 per cent were involved in fishing and in case of women, only 31.36 per cent were working. </w:t>
      </w:r>
    </w:p>
    <w:p w14:paraId="613119EB"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rPr>
        <w:t xml:space="preserve">The study shows that majority of the people (80%) belong to low income, 12% in high income category and 7 % in middle income category. </w:t>
      </w:r>
      <w:proofErr w:type="gramStart"/>
      <w:r w:rsidRPr="00703566">
        <w:rPr>
          <w:rFonts w:ascii="Times New Roman" w:eastAsia="Calibri" w:hAnsi="Times New Roman" w:cs="Times New Roman"/>
          <w:sz w:val="24"/>
          <w:szCs w:val="24"/>
        </w:rPr>
        <w:t>Low income</w:t>
      </w:r>
      <w:proofErr w:type="gramEnd"/>
      <w:r w:rsidRPr="00703566">
        <w:rPr>
          <w:rFonts w:ascii="Times New Roman" w:eastAsia="Calibri" w:hAnsi="Times New Roman" w:cs="Times New Roman"/>
          <w:sz w:val="24"/>
          <w:szCs w:val="24"/>
        </w:rPr>
        <w:t xml:space="preserve"> groups were more susceptible to coronavirus infection because they had limited resources of COVID – 19 precaution measures such as health services, food supplements (immune boost food supplements), mask, sanitizers etc.</w:t>
      </w:r>
    </w:p>
    <w:p w14:paraId="33BC3FFD"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lang w:val="en-US"/>
        </w:rPr>
        <w:t xml:space="preserve">It was found that, </w:t>
      </w:r>
      <w:r w:rsidRPr="00703566">
        <w:rPr>
          <w:rFonts w:ascii="Times New Roman" w:eastAsia="Calibri" w:hAnsi="Times New Roman" w:cs="Times New Roman"/>
          <w:sz w:val="24"/>
          <w:szCs w:val="24"/>
        </w:rPr>
        <w:t xml:space="preserve">while comparing BMI, male </w:t>
      </w:r>
      <w:proofErr w:type="gramStart"/>
      <w:r w:rsidRPr="00703566">
        <w:rPr>
          <w:rFonts w:ascii="Times New Roman" w:eastAsia="Calibri" w:hAnsi="Times New Roman" w:cs="Times New Roman"/>
          <w:sz w:val="24"/>
          <w:szCs w:val="24"/>
        </w:rPr>
        <w:t>were</w:t>
      </w:r>
      <w:proofErr w:type="gramEnd"/>
      <w:r w:rsidRPr="00703566">
        <w:rPr>
          <w:rFonts w:ascii="Times New Roman" w:eastAsia="Calibri" w:hAnsi="Times New Roman" w:cs="Times New Roman"/>
          <w:sz w:val="24"/>
          <w:szCs w:val="24"/>
        </w:rPr>
        <w:t xml:space="preserve"> more stable than females</w:t>
      </w:r>
    </w:p>
    <w:p w14:paraId="57EF8ACD"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t xml:space="preserve">it was found that,48% of the selected samples were physically active. Males were more physically active than females. </w:t>
      </w:r>
    </w:p>
    <w:p w14:paraId="1BACB5AA"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t xml:space="preserve">This study shows that the common mode of transmission of corona </w:t>
      </w:r>
      <w:proofErr w:type="gramStart"/>
      <w:r w:rsidRPr="00703566">
        <w:rPr>
          <w:rFonts w:ascii="Times New Roman" w:eastAsia="Calibri" w:hAnsi="Times New Roman" w:cs="Times New Roman"/>
          <w:sz w:val="24"/>
          <w:szCs w:val="24"/>
        </w:rPr>
        <w:t>virus  among</w:t>
      </w:r>
      <w:proofErr w:type="gramEnd"/>
      <w:r w:rsidRPr="00703566">
        <w:rPr>
          <w:rFonts w:ascii="Times New Roman" w:eastAsia="Calibri" w:hAnsi="Times New Roman" w:cs="Times New Roman"/>
          <w:sz w:val="24"/>
          <w:szCs w:val="24"/>
        </w:rPr>
        <w:t xml:space="preserve"> target group were close contact with infected person.</w:t>
      </w:r>
    </w:p>
    <w:p w14:paraId="4BC1F068"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From the data, it was evident that, about 61 of the samples have both fever and loss of smell and taste,52 of target group suffered from tiredness, 49 of elder people struggled with dry cough, 38 of people had head ache and 35 people struggled from diarrhoea. Very few samples were found to have symptoms like difficulty to breath, chest pain and loss of speech or movement are rare symptoms associated with COVID 19 in selected samples</w:t>
      </w:r>
    </w:p>
    <w:p w14:paraId="6A30A1B7"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lastRenderedPageBreak/>
        <w:t xml:space="preserve">Health issues after covid 19 among target group pointed that 35 females and 16 males had palpitation,28 females and 16 male had fatigue, 19 females and 13 males have pain in joints. Shortness of breath, loss of taste or smell, memory loss </w:t>
      </w:r>
      <w:proofErr w:type="gramStart"/>
      <w:r w:rsidRPr="00703566">
        <w:rPr>
          <w:rFonts w:ascii="Times New Roman" w:eastAsia="Calibri" w:hAnsi="Times New Roman" w:cs="Times New Roman"/>
          <w:sz w:val="24"/>
          <w:szCs w:val="24"/>
        </w:rPr>
        <w:t>were</w:t>
      </w:r>
      <w:proofErr w:type="gramEnd"/>
      <w:r w:rsidRPr="00703566">
        <w:rPr>
          <w:rFonts w:ascii="Times New Roman" w:eastAsia="Calibri" w:hAnsi="Times New Roman" w:cs="Times New Roman"/>
          <w:sz w:val="24"/>
          <w:szCs w:val="24"/>
        </w:rPr>
        <w:t xml:space="preserve"> effected by numerous people.</w:t>
      </w:r>
    </w:p>
    <w:p w14:paraId="66B8E4CF"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t>Females had more health issues after COVID-19 infection.</w:t>
      </w:r>
    </w:p>
    <w:p w14:paraId="5E2ED8A7"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Duration of Hospital days of COVID 19 geriatric patients depend up </w:t>
      </w:r>
      <w:proofErr w:type="gramStart"/>
      <w:r w:rsidRPr="00703566">
        <w:rPr>
          <w:rFonts w:ascii="Times New Roman" w:eastAsia="Calibri" w:hAnsi="Times New Roman" w:cs="Times New Roman"/>
          <w:sz w:val="24"/>
          <w:szCs w:val="24"/>
        </w:rPr>
        <w:t>on  age</w:t>
      </w:r>
      <w:proofErr w:type="gramEnd"/>
      <w:r w:rsidRPr="00703566">
        <w:rPr>
          <w:rFonts w:ascii="Times New Roman" w:eastAsia="Calibri" w:hAnsi="Times New Roman" w:cs="Times New Roman"/>
          <w:sz w:val="24"/>
          <w:szCs w:val="24"/>
        </w:rPr>
        <w:t xml:space="preserve">, physical and psychological status of the patients. It was found that very small number of people about 3 had less than 5 days of hospital stay,14 females and 16 male had5 to 10 days of hospital stay, 23 females and 21 males had 11 to 15 days, 12 females and 10 males had 16 to 20 days of hospital days and one female had more than 20 days of hospital stay. When compared to </w:t>
      </w:r>
      <w:proofErr w:type="gramStart"/>
      <w:r w:rsidRPr="00703566">
        <w:rPr>
          <w:rFonts w:ascii="Times New Roman" w:eastAsia="Calibri" w:hAnsi="Times New Roman" w:cs="Times New Roman"/>
          <w:sz w:val="24"/>
          <w:szCs w:val="24"/>
        </w:rPr>
        <w:t>males ,</w:t>
      </w:r>
      <w:proofErr w:type="gramEnd"/>
      <w:r w:rsidRPr="00703566">
        <w:rPr>
          <w:rFonts w:ascii="Times New Roman" w:eastAsia="Calibri" w:hAnsi="Times New Roman" w:cs="Times New Roman"/>
          <w:sz w:val="24"/>
          <w:szCs w:val="24"/>
        </w:rPr>
        <w:t xml:space="preserve"> their hospital days were more among females.</w:t>
      </w:r>
    </w:p>
    <w:p w14:paraId="463A5762"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t>Recovery period of COVID 19 among females compared to men, pointed that females required more days to recover from corona virus infection. Up to one month was the recovery period among majority of the target group.</w:t>
      </w:r>
    </w:p>
    <w:p w14:paraId="473726D7"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t>Majority of the samples had past medical history of hypertension and diabetes mellitus</w:t>
      </w:r>
    </w:p>
    <w:p w14:paraId="29D9D096"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t>It was found that, among more than half of the respondents (67%) have existing diseases were worsened.</w:t>
      </w:r>
    </w:p>
    <w:p w14:paraId="2423D31A" w14:textId="77777777" w:rsidR="00703566" w:rsidRPr="00703566" w:rsidRDefault="00703566" w:rsidP="00703566">
      <w:pPr>
        <w:numPr>
          <w:ilvl w:val="0"/>
          <w:numId w:val="5"/>
        </w:numPr>
        <w:tabs>
          <w:tab w:val="left" w:pos="1527"/>
        </w:tabs>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rPr>
        <w:t xml:space="preserve">The study reveals that </w:t>
      </w:r>
      <w:r w:rsidRPr="00703566">
        <w:rPr>
          <w:rFonts w:ascii="Times New Roman" w:eastAsia="Calibri" w:hAnsi="Times New Roman" w:cs="Times New Roman"/>
          <w:sz w:val="24"/>
          <w:szCs w:val="24"/>
          <w:lang w:val="en-US"/>
        </w:rPr>
        <w:t>worsening of existing morbidities were found more in females than males.</w:t>
      </w:r>
    </w:p>
    <w:p w14:paraId="0D66404D"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b/>
          <w:bCs/>
          <w:sz w:val="24"/>
          <w:szCs w:val="24"/>
        </w:rPr>
      </w:pPr>
      <w:r w:rsidRPr="00703566">
        <w:rPr>
          <w:rFonts w:ascii="Times New Roman" w:eastAsia="Calibri" w:hAnsi="Times New Roman" w:cs="Times New Roman"/>
          <w:sz w:val="24"/>
          <w:szCs w:val="24"/>
        </w:rPr>
        <w:t xml:space="preserve">About </w:t>
      </w:r>
      <w:r w:rsidRPr="00703566">
        <w:rPr>
          <w:rFonts w:ascii="Times New Roman" w:hAnsi="Times New Roman" w:cs="Times New Roman"/>
          <w:sz w:val="24"/>
          <w:szCs w:val="24"/>
          <w:lang w:val="en-US"/>
        </w:rPr>
        <w:t>50% of the people had abnormal respiratory strength, and remaining 50% had normal respiratory strength. The abnormal respiratory strength of samples, depend up on their age, gender, morbidities (hypertension, heart disease).</w:t>
      </w:r>
    </w:p>
    <w:p w14:paraId="26BD71C3"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When compared nutritional status after COVID 19 to during COVID 19, infection has remarkable transition to malnourished state of selected samples. </w:t>
      </w:r>
    </w:p>
    <w:p w14:paraId="4CC20AA0"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lastRenderedPageBreak/>
        <w:t>The data reveals that 83% of the samples have poor appetite and compared to males in appetite, females had poor appetite, that induce malnourished state during corona virus infection.</w:t>
      </w:r>
    </w:p>
    <w:p w14:paraId="4B1E6C39"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About 35 % of respondents had anorexia,4% females had bulimia nervosa and both anorexia and bulimia nervosa were found in 2 males and 3 females respectively. This study exhibit that, females were more susceptible to eating disorders than men.</w:t>
      </w:r>
    </w:p>
    <w:p w14:paraId="692AA736"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lang w:val="en-US"/>
        </w:rPr>
      </w:pPr>
      <w:bookmarkStart w:id="35" w:name="_Hlk68591726"/>
      <w:r w:rsidRPr="00703566">
        <w:rPr>
          <w:rFonts w:ascii="Times New Roman" w:eastAsia="Calibri" w:hAnsi="Times New Roman" w:cs="Times New Roman"/>
          <w:sz w:val="24"/>
          <w:szCs w:val="24"/>
        </w:rPr>
        <w:t xml:space="preserve">To compare the nutritional status of patients during and after Covid 19, non-parametric t test(paired) </w:t>
      </w:r>
      <w:proofErr w:type="gramStart"/>
      <w:r w:rsidRPr="00703566">
        <w:rPr>
          <w:rFonts w:ascii="Times New Roman" w:eastAsia="Calibri" w:hAnsi="Times New Roman" w:cs="Times New Roman"/>
          <w:sz w:val="24"/>
          <w:szCs w:val="24"/>
        </w:rPr>
        <w:t>were</w:t>
      </w:r>
      <w:proofErr w:type="gramEnd"/>
      <w:r w:rsidRPr="00703566">
        <w:rPr>
          <w:rFonts w:ascii="Times New Roman" w:eastAsia="Calibri" w:hAnsi="Times New Roman" w:cs="Times New Roman"/>
          <w:sz w:val="24"/>
          <w:szCs w:val="24"/>
        </w:rPr>
        <w:t xml:space="preserve"> used. V = 370, p-value = 0.5108, and no significant difference in   the nutritional status of patients were found after Covid 19.</w:t>
      </w:r>
    </w:p>
    <w:bookmarkEnd w:id="35"/>
    <w:p w14:paraId="245DC106"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This study also reveals that 83% (45 females and 38 males) of the samples have poor appetite during COVID-19.</w:t>
      </w:r>
    </w:p>
    <w:p w14:paraId="3BC2C711"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There is significant difference between the appetite during and after Covid 19 in male patients.</w:t>
      </w:r>
    </w:p>
    <w:p w14:paraId="3A5BA062"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Nutritional status of the geriatric COVID-19 patients </w:t>
      </w:r>
      <w:proofErr w:type="gramStart"/>
      <w:r w:rsidRPr="00703566">
        <w:rPr>
          <w:rFonts w:ascii="Times New Roman" w:eastAsia="Calibri" w:hAnsi="Times New Roman" w:cs="Times New Roman"/>
          <w:sz w:val="24"/>
          <w:szCs w:val="24"/>
        </w:rPr>
        <w:t>were</w:t>
      </w:r>
      <w:proofErr w:type="gramEnd"/>
      <w:r w:rsidRPr="00703566">
        <w:rPr>
          <w:rFonts w:ascii="Times New Roman" w:eastAsia="Calibri" w:hAnsi="Times New Roman" w:cs="Times New Roman"/>
          <w:sz w:val="24"/>
          <w:szCs w:val="24"/>
        </w:rPr>
        <w:t xml:space="preserve"> independent of appetite.</w:t>
      </w:r>
    </w:p>
    <w:p w14:paraId="682494D5"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Dietary information of the samples during corona virus infection showed that 100% of the people consume cereals and millets daily and majority (79%) consume pulses and legumes daily.</w:t>
      </w:r>
    </w:p>
    <w:p w14:paraId="5E6EA949"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During corona virus infection, the consumption of animal foods such as milk, fish, meat etc were reduced, because of the unavailability of these foods during pandemic.</w:t>
      </w:r>
    </w:p>
    <w:p w14:paraId="566143AA"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Majority of the people, about 96 per cent of people consume fish daily, because selected area for study was fishing village, so the availability of the fish was more. 76% of the people consume milk and milk products daily.</w:t>
      </w:r>
    </w:p>
    <w:p w14:paraId="6C6DAB0B" w14:textId="77777777" w:rsidR="00703566" w:rsidRPr="00703566" w:rsidRDefault="00703566" w:rsidP="00703566">
      <w:pPr>
        <w:numPr>
          <w:ilvl w:val="0"/>
          <w:numId w:val="5"/>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When compared to food consumption during COVID -19, daily consumption of vegetables (70%), leafy vegetables (56%) and fruits (23%) were increased, because </w:t>
      </w:r>
      <w:r w:rsidRPr="00703566">
        <w:rPr>
          <w:rFonts w:ascii="Times New Roman" w:eastAsia="Calibri" w:hAnsi="Times New Roman" w:cs="Times New Roman"/>
          <w:sz w:val="24"/>
          <w:szCs w:val="24"/>
        </w:rPr>
        <w:lastRenderedPageBreak/>
        <w:t>they were aware about immune boosting foods and their capacity to prevent infectious disease.</w:t>
      </w:r>
    </w:p>
    <w:p w14:paraId="4647C07A" w14:textId="77777777" w:rsidR="00703566" w:rsidRPr="00703566" w:rsidRDefault="00703566" w:rsidP="00703566">
      <w:pPr>
        <w:numPr>
          <w:ilvl w:val="0"/>
          <w:numId w:val="7"/>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The psychological factors such as stress, depression, and anxiety between male and female patients were recognized by Wilcoxon signed rank test. It indicates that stress, depression and anxiety level of men were less than female COVID-19 patients. </w:t>
      </w:r>
    </w:p>
    <w:p w14:paraId="49AFEF59" w14:textId="77777777" w:rsidR="00703566" w:rsidRPr="00703566" w:rsidRDefault="00703566" w:rsidP="00703566">
      <w:pPr>
        <w:numPr>
          <w:ilvl w:val="0"/>
          <w:numId w:val="7"/>
        </w:numPr>
        <w:spacing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More than half of the samples about 63% of the people had normal cognitive functioning and remaining 18% and 19% of target group had occurrence of delirium and cognitive impairment respectively. </w:t>
      </w:r>
    </w:p>
    <w:p w14:paraId="7D7DF9CD" w14:textId="77777777" w:rsidR="00703566" w:rsidRPr="00703566" w:rsidRDefault="00703566" w:rsidP="00703566">
      <w:pPr>
        <w:numPr>
          <w:ilvl w:val="0"/>
          <w:numId w:val="7"/>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The study shows that, treatment modalities adopted for selected samples were to take rest by 48% subjects. Drugs were provided to 20 per cent and I.V were given to 32 per cent of the respondents.  </w:t>
      </w:r>
    </w:p>
    <w:p w14:paraId="64E530D2" w14:textId="77777777" w:rsidR="00703566" w:rsidRPr="00703566" w:rsidRDefault="00703566" w:rsidP="00703566">
      <w:pPr>
        <w:spacing w:line="480" w:lineRule="auto"/>
        <w:jc w:val="both"/>
        <w:rPr>
          <w:rFonts w:ascii="Times New Roman" w:hAnsi="Times New Roman" w:cs="Times New Roman"/>
          <w:sz w:val="24"/>
          <w:szCs w:val="24"/>
        </w:rPr>
      </w:pPr>
    </w:p>
    <w:p w14:paraId="478ED22A" w14:textId="77777777" w:rsidR="00703566" w:rsidRPr="00703566" w:rsidRDefault="00703566" w:rsidP="00703566">
      <w:pPr>
        <w:spacing w:line="48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 xml:space="preserve"> Limitations of the study</w:t>
      </w:r>
    </w:p>
    <w:p w14:paraId="4D2161FC"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Expensive </w:t>
      </w:r>
    </w:p>
    <w:p w14:paraId="14B8DA64"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Possibility of influencing respondents</w:t>
      </w:r>
    </w:p>
    <w:p w14:paraId="129ED9A4"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Times New Roman" w:hAnsi="Times New Roman" w:cs="Times New Roman"/>
          <w:color w:val="0E101A"/>
          <w:sz w:val="24"/>
          <w:szCs w:val="24"/>
          <w:lang w:eastAsia="en-IN"/>
        </w:rPr>
        <w:t xml:space="preserve"> Long response time</w:t>
      </w:r>
    </w:p>
    <w:p w14:paraId="73101B9A"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Time constraints for both the interviewer and the interviewee.</w:t>
      </w:r>
    </w:p>
    <w:p w14:paraId="4BFFD789"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Times New Roman" w:hAnsi="Times New Roman" w:cs="Times New Roman"/>
          <w:color w:val="0E101A"/>
          <w:sz w:val="24"/>
          <w:szCs w:val="24"/>
          <w:lang w:eastAsia="en-IN"/>
        </w:rPr>
        <w:t>It was very difficult to get clarification from geriatric population</w:t>
      </w:r>
    </w:p>
    <w:p w14:paraId="30FC6E86"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The interview provides less anonymity than a mail questionnaire report, particularly if the latter does not include follow-up. The interviewer usually knows the respondent's name and address, as well as the names and addresses of all family members.</w:t>
      </w:r>
    </w:p>
    <w:p w14:paraId="5F28D6A8"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There were many restrictions to conduct survey during pandemic</w:t>
      </w:r>
    </w:p>
    <w:p w14:paraId="3CBFCBEA" w14:textId="77777777" w:rsidR="00703566" w:rsidRPr="00703566" w:rsidRDefault="00703566" w:rsidP="00703566">
      <w:pPr>
        <w:numPr>
          <w:ilvl w:val="0"/>
          <w:numId w:val="6"/>
        </w:num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Most of the respondents does not cooperate with data collection, because of the fear of corona virus infection.</w:t>
      </w:r>
    </w:p>
    <w:p w14:paraId="24FEA487" w14:textId="77777777" w:rsidR="00703566" w:rsidRPr="00703566" w:rsidRDefault="00703566" w:rsidP="00703566">
      <w:pPr>
        <w:spacing w:line="480" w:lineRule="auto"/>
        <w:jc w:val="both"/>
        <w:rPr>
          <w:rFonts w:ascii="Times New Roman" w:eastAsia="Calibri" w:hAnsi="Times New Roman" w:cs="Times New Roman"/>
          <w:b/>
          <w:bCs/>
          <w:sz w:val="24"/>
          <w:szCs w:val="24"/>
        </w:rPr>
      </w:pPr>
      <w:r w:rsidRPr="00703566">
        <w:rPr>
          <w:rFonts w:ascii="Times New Roman" w:eastAsia="Calibri" w:hAnsi="Times New Roman" w:cs="Times New Roman"/>
          <w:b/>
          <w:bCs/>
          <w:sz w:val="24"/>
          <w:szCs w:val="24"/>
        </w:rPr>
        <w:lastRenderedPageBreak/>
        <w:t xml:space="preserve">             Suggestions for future study</w:t>
      </w:r>
    </w:p>
    <w:p w14:paraId="57FAA4AF" w14:textId="77777777" w:rsidR="00703566" w:rsidRPr="00703566" w:rsidRDefault="00703566" w:rsidP="00703566">
      <w:pPr>
        <w:numPr>
          <w:ilvl w:val="0"/>
          <w:numId w:val="8"/>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 xml:space="preserve">A comparison of males and </w:t>
      </w:r>
      <w:proofErr w:type="gramStart"/>
      <w:r w:rsidRPr="00703566">
        <w:rPr>
          <w:rFonts w:ascii="Times New Roman" w:eastAsia="Calibri" w:hAnsi="Times New Roman" w:cs="Times New Roman"/>
          <w:sz w:val="24"/>
          <w:szCs w:val="24"/>
          <w:shd w:val="clear" w:color="auto" w:fill="FFFFFF"/>
        </w:rPr>
        <w:t>females</w:t>
      </w:r>
      <w:proofErr w:type="gramEnd"/>
      <w:r w:rsidRPr="00703566">
        <w:rPr>
          <w:rFonts w:ascii="Times New Roman" w:eastAsia="Calibri" w:hAnsi="Times New Roman" w:cs="Times New Roman"/>
          <w:sz w:val="24"/>
          <w:szCs w:val="24"/>
          <w:shd w:val="clear" w:color="auto" w:fill="FFFFFF"/>
        </w:rPr>
        <w:t xml:space="preserve"> consciousness towards pandemic period, psychological factors and dietary changes can be carried out.</w:t>
      </w:r>
    </w:p>
    <w:p w14:paraId="458CBF04" w14:textId="77777777" w:rsidR="00703566" w:rsidRPr="00703566" w:rsidRDefault="00703566" w:rsidP="00703566">
      <w:pPr>
        <w:numPr>
          <w:ilvl w:val="0"/>
          <w:numId w:val="8"/>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The biochemical parameters of the selected samples can be measured to assess the accurate information.</w:t>
      </w:r>
    </w:p>
    <w:p w14:paraId="4388D671" w14:textId="77777777" w:rsidR="00703566" w:rsidRPr="00703566" w:rsidRDefault="00703566" w:rsidP="00703566">
      <w:pPr>
        <w:numPr>
          <w:ilvl w:val="0"/>
          <w:numId w:val="8"/>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Respiratory strength of the samples can be assessed by equipment or advanced technologies that helps to assess how corona virus effect respiratory system.</w:t>
      </w:r>
    </w:p>
    <w:p w14:paraId="73978CA8" w14:textId="77777777" w:rsidR="00703566" w:rsidRPr="00703566" w:rsidRDefault="00703566" w:rsidP="00703566">
      <w:pPr>
        <w:numPr>
          <w:ilvl w:val="0"/>
          <w:numId w:val="8"/>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The periodic monitoring of psychological physiological status of samples must be carried out.</w:t>
      </w:r>
    </w:p>
    <w:p w14:paraId="17FC008B" w14:textId="77777777" w:rsidR="00703566" w:rsidRPr="00703566" w:rsidRDefault="00703566" w:rsidP="00703566">
      <w:pPr>
        <w:numPr>
          <w:ilvl w:val="0"/>
          <w:numId w:val="8"/>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To teach their family members how to support their elders, initiate new programme strategies and to help them to live healthy and happy.</w:t>
      </w:r>
    </w:p>
    <w:p w14:paraId="39ADA38C" w14:textId="77777777" w:rsidR="00703566" w:rsidRPr="00703566" w:rsidRDefault="00703566" w:rsidP="00703566">
      <w:pPr>
        <w:numPr>
          <w:ilvl w:val="0"/>
          <w:numId w:val="8"/>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Intervention using immune boosters and its effect on prevention of COVID and fast recovery.</w:t>
      </w:r>
    </w:p>
    <w:p w14:paraId="5567FD89" w14:textId="77777777" w:rsidR="00703566" w:rsidRPr="00703566" w:rsidRDefault="00703566" w:rsidP="00703566">
      <w:pPr>
        <w:numPr>
          <w:ilvl w:val="0"/>
          <w:numId w:val="8"/>
        </w:numPr>
        <w:spacing w:line="480" w:lineRule="auto"/>
        <w:contextualSpacing/>
        <w:jc w:val="both"/>
        <w:rPr>
          <w:rFonts w:ascii="Times New Roman" w:eastAsia="Calibri" w:hAnsi="Times New Roman" w:cs="Times New Roman"/>
          <w:sz w:val="24"/>
          <w:szCs w:val="24"/>
          <w:shd w:val="clear" w:color="auto" w:fill="FFFFFF"/>
        </w:rPr>
      </w:pPr>
      <w:r w:rsidRPr="00703566">
        <w:rPr>
          <w:rFonts w:ascii="Times New Roman" w:eastAsia="Calibri" w:hAnsi="Times New Roman" w:cs="Times New Roman"/>
          <w:sz w:val="24"/>
          <w:szCs w:val="24"/>
          <w:shd w:val="clear" w:color="auto" w:fill="FFFFFF"/>
        </w:rPr>
        <w:t>Effect of vaccination on elderly population</w:t>
      </w:r>
    </w:p>
    <w:p w14:paraId="11765C25" w14:textId="77777777" w:rsidR="00703566" w:rsidRPr="00703566" w:rsidRDefault="00703566" w:rsidP="00703566">
      <w:pPr>
        <w:spacing w:line="360" w:lineRule="auto"/>
        <w:jc w:val="both"/>
        <w:rPr>
          <w:rFonts w:ascii="Times New Roman" w:hAnsi="Times New Roman" w:cs="Times New Roman"/>
          <w:sz w:val="24"/>
          <w:szCs w:val="24"/>
        </w:rPr>
      </w:pPr>
    </w:p>
    <w:p w14:paraId="04B9B616" w14:textId="77777777" w:rsidR="00703566" w:rsidRPr="00703566" w:rsidRDefault="00703566" w:rsidP="00703566">
      <w:pPr>
        <w:spacing w:line="360" w:lineRule="auto"/>
        <w:ind w:left="720" w:firstLine="720"/>
        <w:jc w:val="both"/>
        <w:rPr>
          <w:rFonts w:ascii="Times New Roman" w:hAnsi="Times New Roman" w:cs="Times New Roman"/>
          <w:b/>
          <w:bCs/>
          <w:sz w:val="24"/>
          <w:szCs w:val="24"/>
        </w:rPr>
      </w:pPr>
      <w:r w:rsidRPr="00703566">
        <w:rPr>
          <w:rFonts w:ascii="Times New Roman" w:hAnsi="Times New Roman" w:cs="Times New Roman"/>
          <w:b/>
          <w:bCs/>
          <w:sz w:val="24"/>
          <w:szCs w:val="24"/>
        </w:rPr>
        <w:t>CONCLUSION</w:t>
      </w:r>
    </w:p>
    <w:p w14:paraId="638B17C6" w14:textId="77777777" w:rsidR="00703566" w:rsidRPr="00703566" w:rsidRDefault="00703566" w:rsidP="00703566">
      <w:pPr>
        <w:spacing w:line="480" w:lineRule="auto"/>
        <w:ind w:left="720"/>
        <w:jc w:val="both"/>
        <w:rPr>
          <w:rFonts w:ascii="Times New Roman" w:hAnsi="Times New Roman" w:cs="Times New Roman"/>
          <w:sz w:val="24"/>
          <w:szCs w:val="24"/>
        </w:rPr>
      </w:pPr>
      <w:r w:rsidRPr="00703566">
        <w:rPr>
          <w:rFonts w:ascii="Times New Roman" w:hAnsi="Times New Roman" w:cs="Times New Roman"/>
          <w:sz w:val="24"/>
          <w:szCs w:val="24"/>
          <w:lang w:val="en-US"/>
        </w:rPr>
        <w:t>The socio-economic status negatively affected elders during pandemic, and limited health care facilities, that are need to support elder’s life.  Nutritional status and health profile of elders were worsened during pandemic, and physiological distress developed after COVID-19 infection however, they were not able to take much rest due to socio economic conditions because of their involvement in occupational activities. Family support was found to very important in fast recovery and maintenance of health and nutritional status of geriatric population. The change in life style and nutritional profile during and after COVID-19 influenced the quality of life of geriatric population.</w:t>
      </w:r>
    </w:p>
    <w:p w14:paraId="6A1BE018" w14:textId="77777777" w:rsidR="00703566" w:rsidRPr="00703566" w:rsidRDefault="00703566" w:rsidP="00703566">
      <w:pPr>
        <w:spacing w:line="480" w:lineRule="auto"/>
        <w:ind w:left="720" w:firstLine="720"/>
        <w:jc w:val="both"/>
        <w:rPr>
          <w:rFonts w:ascii="Times New Roman" w:hAnsi="Times New Roman" w:cs="Times New Roman"/>
          <w:sz w:val="24"/>
          <w:szCs w:val="24"/>
        </w:rPr>
      </w:pPr>
    </w:p>
    <w:p w14:paraId="4A70D867"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662ABF88"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1102B5A0" w14:textId="77777777" w:rsidR="00703566" w:rsidRPr="00703566" w:rsidRDefault="00703566" w:rsidP="00703566">
      <w:pPr>
        <w:spacing w:line="360" w:lineRule="auto"/>
        <w:ind w:left="720" w:firstLine="720"/>
        <w:jc w:val="both"/>
        <w:rPr>
          <w:rFonts w:ascii="Times New Roman" w:hAnsi="Times New Roman" w:cs="Times New Roman"/>
          <w:b/>
          <w:bCs/>
          <w:sz w:val="48"/>
          <w:szCs w:val="48"/>
        </w:rPr>
      </w:pPr>
    </w:p>
    <w:p w14:paraId="2FFE8036" w14:textId="77777777" w:rsidR="00703566" w:rsidRPr="00703566" w:rsidRDefault="00703566" w:rsidP="00703566">
      <w:pPr>
        <w:spacing w:line="360" w:lineRule="auto"/>
        <w:jc w:val="both"/>
        <w:rPr>
          <w:rFonts w:ascii="Times New Roman" w:hAnsi="Times New Roman" w:cs="Times New Roman"/>
          <w:b/>
          <w:bCs/>
          <w:sz w:val="48"/>
          <w:szCs w:val="48"/>
        </w:rPr>
      </w:pPr>
    </w:p>
    <w:p w14:paraId="51895D3A"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r w:rsidRPr="00703566">
        <w:rPr>
          <w:rFonts w:ascii="Times New Roman" w:hAnsi="Times New Roman" w:cs="Times New Roman"/>
          <w:b/>
          <w:bCs/>
          <w:sz w:val="48"/>
          <w:szCs w:val="48"/>
        </w:rPr>
        <w:t>BIBLIOGRAPHY</w:t>
      </w:r>
    </w:p>
    <w:p w14:paraId="1DCA4A19"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p>
    <w:p w14:paraId="74895441"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p>
    <w:p w14:paraId="53724423"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p>
    <w:p w14:paraId="61ACDCBD"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p>
    <w:p w14:paraId="3F9D1953"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p>
    <w:p w14:paraId="08E156C1"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p>
    <w:p w14:paraId="47C9D62C" w14:textId="77777777" w:rsidR="00703566" w:rsidRPr="00703566" w:rsidRDefault="00703566" w:rsidP="00703566">
      <w:pPr>
        <w:spacing w:line="360" w:lineRule="auto"/>
        <w:ind w:left="2160" w:firstLine="720"/>
        <w:jc w:val="center"/>
        <w:rPr>
          <w:rFonts w:ascii="Times New Roman" w:hAnsi="Times New Roman" w:cs="Times New Roman"/>
          <w:b/>
          <w:bCs/>
          <w:sz w:val="48"/>
          <w:szCs w:val="48"/>
        </w:rPr>
      </w:pPr>
    </w:p>
    <w:p w14:paraId="252A2855" w14:textId="77777777" w:rsidR="00703566" w:rsidRPr="00703566" w:rsidRDefault="00703566" w:rsidP="00703566">
      <w:pPr>
        <w:spacing w:line="360" w:lineRule="auto"/>
        <w:ind w:left="2160" w:firstLine="720"/>
        <w:jc w:val="center"/>
        <w:rPr>
          <w:rFonts w:ascii="Times New Roman" w:hAnsi="Times New Roman" w:cs="Times New Roman"/>
          <w:b/>
          <w:bCs/>
          <w:sz w:val="48"/>
          <w:szCs w:val="48"/>
        </w:rPr>
      </w:pPr>
    </w:p>
    <w:p w14:paraId="5D5A1041" w14:textId="77777777" w:rsidR="00703566" w:rsidRPr="00703566" w:rsidRDefault="00703566" w:rsidP="00703566">
      <w:pPr>
        <w:spacing w:line="360" w:lineRule="auto"/>
        <w:ind w:left="2160" w:firstLine="720"/>
        <w:jc w:val="both"/>
        <w:rPr>
          <w:rFonts w:ascii="Times New Roman" w:hAnsi="Times New Roman" w:cs="Times New Roman"/>
          <w:b/>
          <w:bCs/>
          <w:sz w:val="48"/>
          <w:szCs w:val="48"/>
        </w:rPr>
      </w:pPr>
    </w:p>
    <w:p w14:paraId="632E8379" w14:textId="77777777" w:rsidR="00703566" w:rsidRPr="00703566" w:rsidRDefault="00703566" w:rsidP="00703566">
      <w:pPr>
        <w:numPr>
          <w:ilvl w:val="4"/>
          <w:numId w:val="30"/>
        </w:numPr>
        <w:spacing w:line="480" w:lineRule="auto"/>
        <w:contextualSpacing/>
        <w:jc w:val="both"/>
        <w:rPr>
          <w:rFonts w:ascii="Times New Roman" w:hAnsi="Times New Roman" w:cs="Times New Roman"/>
          <w:b/>
          <w:bCs/>
          <w:sz w:val="28"/>
          <w:szCs w:val="28"/>
        </w:rPr>
      </w:pPr>
      <w:bookmarkStart w:id="36" w:name="_Hlk70145172"/>
      <w:r w:rsidRPr="00703566">
        <w:rPr>
          <w:rFonts w:ascii="Times New Roman" w:hAnsi="Times New Roman" w:cs="Times New Roman"/>
          <w:b/>
          <w:bCs/>
          <w:sz w:val="28"/>
          <w:szCs w:val="28"/>
        </w:rPr>
        <w:t>BIBLIOGRAPHY</w:t>
      </w:r>
    </w:p>
    <w:p w14:paraId="0A76AE73"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sz w:val="24"/>
          <w:szCs w:val="24"/>
        </w:rPr>
        <w:fldChar w:fldCharType="begin" w:fldLock="1"/>
      </w:r>
      <w:r w:rsidRPr="00703566">
        <w:rPr>
          <w:rFonts w:ascii="Times New Roman" w:hAnsi="Times New Roman" w:cs="Times New Roman"/>
          <w:sz w:val="24"/>
          <w:szCs w:val="24"/>
        </w:rPr>
        <w:instrText xml:space="preserve">ADDIN Mendeley Bibliography CSL_BIBLIOGRAPHY </w:instrText>
      </w:r>
      <w:r w:rsidRPr="00703566">
        <w:rPr>
          <w:rFonts w:ascii="Times New Roman" w:hAnsi="Times New Roman" w:cs="Times New Roman"/>
          <w:sz w:val="24"/>
          <w:szCs w:val="24"/>
        </w:rPr>
        <w:fldChar w:fldCharType="separate"/>
      </w:r>
      <w:r w:rsidRPr="00703566">
        <w:rPr>
          <w:rFonts w:ascii="Times New Roman" w:hAnsi="Times New Roman" w:cs="Times New Roman"/>
          <w:i/>
          <w:iCs/>
          <w:noProof/>
          <w:sz w:val="24"/>
          <w:szCs w:val="24"/>
        </w:rPr>
        <w:t>• India - aging population by state 2011 | Statista</w:t>
      </w:r>
      <w:r w:rsidRPr="00703566">
        <w:rPr>
          <w:rFonts w:ascii="Times New Roman" w:hAnsi="Times New Roman" w:cs="Times New Roman"/>
          <w:noProof/>
          <w:sz w:val="24"/>
          <w:szCs w:val="24"/>
        </w:rPr>
        <w:t>. (n.d.). Retrieved April 8, 2021, from https://www.statista.com/statistics/620090/aging-population-by-state-india/</w:t>
      </w:r>
    </w:p>
    <w:p w14:paraId="060F1E1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Abrams, E. M., &amp; Szefler, S. J. (2020). COVID-19 and the impact of social determinants of health. </w:t>
      </w:r>
      <w:r w:rsidRPr="00703566">
        <w:rPr>
          <w:rFonts w:ascii="Times New Roman" w:hAnsi="Times New Roman" w:cs="Times New Roman"/>
          <w:i/>
          <w:iCs/>
          <w:noProof/>
          <w:sz w:val="24"/>
          <w:szCs w:val="24"/>
        </w:rPr>
        <w:t>The Lancet Respiratory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8</w:t>
      </w:r>
      <w:r w:rsidRPr="00703566">
        <w:rPr>
          <w:rFonts w:ascii="Times New Roman" w:hAnsi="Times New Roman" w:cs="Times New Roman"/>
          <w:noProof/>
          <w:sz w:val="24"/>
          <w:szCs w:val="24"/>
        </w:rPr>
        <w:t>(7), 659–661. https://doi.org/10.1016/S2213-2600(20)30234-4</w:t>
      </w:r>
    </w:p>
    <w:p w14:paraId="0D010CB4"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Agarwalla, R., Saikia, A., &amp; Baruah, R. (2015). Assessment of the nutritional status of the elderly and its correlates. </w:t>
      </w:r>
      <w:r w:rsidRPr="00703566">
        <w:rPr>
          <w:rFonts w:ascii="Times New Roman" w:hAnsi="Times New Roman" w:cs="Times New Roman"/>
          <w:i/>
          <w:iCs/>
          <w:noProof/>
          <w:sz w:val="24"/>
          <w:szCs w:val="24"/>
        </w:rPr>
        <w:t>Journal of Family and Community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22</w:t>
      </w:r>
      <w:r w:rsidRPr="00703566">
        <w:rPr>
          <w:rFonts w:ascii="Times New Roman" w:hAnsi="Times New Roman" w:cs="Times New Roman"/>
          <w:noProof/>
          <w:sz w:val="24"/>
          <w:szCs w:val="24"/>
        </w:rPr>
        <w:t>(1), 39. https://doi.org/10.4103/2230-8229.149588</w:t>
      </w:r>
    </w:p>
    <w:p w14:paraId="7C51146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Aldred, S., Grant, M. M., &amp; Griffiths, H. R. (2004). The use of proteomics for the assessment of clinical samples in research. In </w:t>
      </w:r>
      <w:r w:rsidRPr="00703566">
        <w:rPr>
          <w:rFonts w:ascii="Times New Roman" w:hAnsi="Times New Roman" w:cs="Times New Roman"/>
          <w:i/>
          <w:iCs/>
          <w:noProof/>
          <w:sz w:val="24"/>
          <w:szCs w:val="24"/>
        </w:rPr>
        <w:t>Clinical Biochemistry</w:t>
      </w:r>
      <w:r w:rsidRPr="00703566">
        <w:rPr>
          <w:rFonts w:ascii="Times New Roman" w:hAnsi="Times New Roman" w:cs="Times New Roman"/>
          <w:noProof/>
          <w:sz w:val="24"/>
          <w:szCs w:val="24"/>
        </w:rPr>
        <w:t xml:space="preserve"> (Vol. 37, Issue 11, pp. 943–952). Elsevier. https://doi.org/10.1016/j.clinbiochem.2004.09.002</w:t>
      </w:r>
    </w:p>
    <w:p w14:paraId="4D88AA6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Alexopoulos, G. S., &amp; Morimoto, S. S. (2011). The inflammation hypothesis in geriatric depression. In </w:t>
      </w:r>
      <w:r w:rsidRPr="00703566">
        <w:rPr>
          <w:rFonts w:ascii="Times New Roman" w:hAnsi="Times New Roman" w:cs="Times New Roman"/>
          <w:i/>
          <w:iCs/>
          <w:noProof/>
          <w:sz w:val="24"/>
          <w:szCs w:val="24"/>
        </w:rPr>
        <w:t>International Journal of Geriatric Psychiatry</w:t>
      </w:r>
      <w:r w:rsidRPr="00703566">
        <w:rPr>
          <w:rFonts w:ascii="Times New Roman" w:hAnsi="Times New Roman" w:cs="Times New Roman"/>
          <w:noProof/>
          <w:sz w:val="24"/>
          <w:szCs w:val="24"/>
        </w:rPr>
        <w:t xml:space="preserve"> (Vol. 26, Issue 11, pp. 1109–1118). John Wiley &amp; Sons, Ltd. https://doi.org/10.1002/gps.2672</w:t>
      </w:r>
    </w:p>
    <w:p w14:paraId="0EFE1C5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Angla, A. (n.d.). </w:t>
      </w:r>
      <w:r w:rsidRPr="00703566">
        <w:rPr>
          <w:rFonts w:ascii="Times New Roman" w:hAnsi="Times New Roman" w:cs="Times New Roman"/>
          <w:i/>
          <w:iCs/>
          <w:noProof/>
          <w:sz w:val="24"/>
          <w:szCs w:val="24"/>
        </w:rPr>
        <w:t>The COVID-19 Pandemic: Effects on Low- and Middle-Income Countries</w:t>
      </w:r>
      <w:r w:rsidRPr="00703566">
        <w:rPr>
          <w:rFonts w:ascii="Times New Roman" w:hAnsi="Times New Roman" w:cs="Times New Roman"/>
          <w:noProof/>
          <w:sz w:val="24"/>
          <w:szCs w:val="24"/>
        </w:rPr>
        <w:t>. Retrieved April 5, 2021, from https://www.ncbi.nlm.nih.gov/pmc/articles/PMC7173081/</w:t>
      </w:r>
    </w:p>
    <w:p w14:paraId="45921729"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Arkkelin, D. (2014). Using SPSS to Understand Research and Data Analysis. In </w:t>
      </w:r>
      <w:r w:rsidRPr="00703566">
        <w:rPr>
          <w:rFonts w:ascii="Times New Roman" w:hAnsi="Times New Roman" w:cs="Times New Roman"/>
          <w:i/>
          <w:iCs/>
          <w:noProof/>
          <w:sz w:val="24"/>
          <w:szCs w:val="24"/>
        </w:rPr>
        <w:t>Psychology Curricular Materials 2014</w:t>
      </w:r>
      <w:r w:rsidRPr="00703566">
        <w:rPr>
          <w:rFonts w:ascii="Times New Roman" w:hAnsi="Times New Roman" w:cs="Times New Roman"/>
          <w:noProof/>
          <w:sz w:val="24"/>
          <w:szCs w:val="24"/>
        </w:rPr>
        <w:t xml:space="preserve"> (Vol. 1). http://citeseerx.ist.psu.edu/viewdoc/download?doi=10.1.1.139.2050&amp;rep=rep1&amp;type=pdf</w:t>
      </w:r>
    </w:p>
    <w:p w14:paraId="108F6CC5"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Arumugam, V. A., Thangavelu, S., Fathah, Z., Ravindran, P., Sanjeev, A. M. A., Babu, </w:t>
      </w:r>
      <w:r w:rsidRPr="00703566">
        <w:rPr>
          <w:rFonts w:ascii="Times New Roman" w:hAnsi="Times New Roman" w:cs="Times New Roman"/>
          <w:noProof/>
          <w:sz w:val="24"/>
          <w:szCs w:val="24"/>
        </w:rPr>
        <w:lastRenderedPageBreak/>
        <w:t xml:space="preserve">S., Meyyazhagan, A., Yatoo, M. I., Sharun, K., Tiwari, R., Pandey, M. K., Sah, R., Chandra, R., &amp; Dhama, K. (2020). COVID-19 and the world with co-morbidities of heart disease, hypertension and diabetes. In </w:t>
      </w:r>
      <w:r w:rsidRPr="00703566">
        <w:rPr>
          <w:rFonts w:ascii="Times New Roman" w:hAnsi="Times New Roman" w:cs="Times New Roman"/>
          <w:i/>
          <w:iCs/>
          <w:noProof/>
          <w:sz w:val="24"/>
          <w:szCs w:val="24"/>
        </w:rPr>
        <w:t>Journal of Pure and Applied Microbiology</w:t>
      </w:r>
      <w:r w:rsidRPr="00703566">
        <w:rPr>
          <w:rFonts w:ascii="Times New Roman" w:hAnsi="Times New Roman" w:cs="Times New Roman"/>
          <w:noProof/>
          <w:sz w:val="24"/>
          <w:szCs w:val="24"/>
        </w:rPr>
        <w:t xml:space="preserve"> (Vol. 14, Issue 3, pp. 1623–1638). Journal of Pure and Applied Microbiology. https://doi.org/10.22207/JPAM.14.3.01</w:t>
      </w:r>
    </w:p>
    <w:p w14:paraId="694C721E"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Balan, R., Sasidharan, D., &amp; Lalu, J. (2020). An insight into the elderly mind during COVID-19 pandemic: World Mental Health Day 2020. </w:t>
      </w:r>
      <w:r w:rsidRPr="00703566">
        <w:rPr>
          <w:rFonts w:ascii="Times New Roman" w:hAnsi="Times New Roman" w:cs="Times New Roman"/>
          <w:i/>
          <w:iCs/>
          <w:noProof/>
          <w:sz w:val="24"/>
          <w:szCs w:val="24"/>
        </w:rPr>
        <w:t>Journal of Marine Medical Society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22</w:t>
      </w:r>
      <w:r w:rsidRPr="00703566">
        <w:rPr>
          <w:rFonts w:ascii="Times New Roman" w:hAnsi="Times New Roman" w:cs="Times New Roman"/>
          <w:noProof/>
          <w:sz w:val="24"/>
          <w:szCs w:val="24"/>
        </w:rPr>
        <w:t>(2), 113. https://doi.org/10.4103/jmms.jmms_151_20</w:t>
      </w:r>
    </w:p>
    <w:p w14:paraId="34C2DDB6"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Balasundaram, P., Libu, G., George, C., &amp; Chandy, A. (2020). Study on the effect of COVID-19 lockdown on health care and psychosocial aspects of elderly in Kerala State. </w:t>
      </w:r>
      <w:r w:rsidRPr="00703566">
        <w:rPr>
          <w:rFonts w:ascii="Times New Roman" w:hAnsi="Times New Roman" w:cs="Times New Roman"/>
          <w:i/>
          <w:iCs/>
          <w:noProof/>
          <w:sz w:val="24"/>
          <w:szCs w:val="24"/>
        </w:rPr>
        <w:t>Journal of the Indian Academy of Geriatrics</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16</w:t>
      </w:r>
      <w:r w:rsidRPr="00703566">
        <w:rPr>
          <w:rFonts w:ascii="Times New Roman" w:hAnsi="Times New Roman" w:cs="Times New Roman"/>
          <w:noProof/>
          <w:sz w:val="24"/>
          <w:szCs w:val="24"/>
        </w:rPr>
        <w:t>(3), 101. https://doi.org/10.4103/jiag.jiag_3_20</w:t>
      </w:r>
    </w:p>
    <w:p w14:paraId="32C06FC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Banerjee, D. (2020). ‘Age and ageism in COVID-19’: Elderly mental health-care vulnerabilities and needs. In </w:t>
      </w:r>
      <w:r w:rsidRPr="00703566">
        <w:rPr>
          <w:rFonts w:ascii="Times New Roman" w:hAnsi="Times New Roman" w:cs="Times New Roman"/>
          <w:i/>
          <w:iCs/>
          <w:noProof/>
          <w:sz w:val="24"/>
          <w:szCs w:val="24"/>
        </w:rPr>
        <w:t>Asian Journal of Psychiatry</w:t>
      </w:r>
      <w:r w:rsidRPr="00703566">
        <w:rPr>
          <w:rFonts w:ascii="Times New Roman" w:hAnsi="Times New Roman" w:cs="Times New Roman"/>
          <w:noProof/>
          <w:sz w:val="24"/>
          <w:szCs w:val="24"/>
        </w:rPr>
        <w:t xml:space="preserve"> (Vol. 51, p. 102154). Elsevier B.V. https://doi.org/10.1016/j.ajp.2020.102154</w:t>
      </w:r>
    </w:p>
    <w:p w14:paraId="1B8CE4E9"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fldChar w:fldCharType="begin" w:fldLock="1"/>
      </w:r>
      <w:r w:rsidRPr="00703566">
        <w:rPr>
          <w:rFonts w:ascii="Times New Roman" w:hAnsi="Times New Roman" w:cs="Times New Roman"/>
          <w:noProof/>
          <w:sz w:val="24"/>
          <w:szCs w:val="24"/>
        </w:rPr>
        <w:instrText xml:space="preserve">ADDIN Mendeley Bibliography CSL_BIBLIOGRAPHY </w:instrText>
      </w:r>
      <w:r w:rsidRPr="00703566">
        <w:rPr>
          <w:rFonts w:ascii="Times New Roman" w:hAnsi="Times New Roman" w:cs="Times New Roman"/>
          <w:noProof/>
          <w:sz w:val="24"/>
          <w:szCs w:val="24"/>
        </w:rPr>
        <w:fldChar w:fldCharType="separate"/>
      </w:r>
      <w:r w:rsidRPr="00703566">
        <w:rPr>
          <w:rFonts w:ascii="Times New Roman" w:hAnsi="Times New Roman" w:cs="Times New Roman"/>
          <w:noProof/>
          <w:sz w:val="24"/>
          <w:szCs w:val="24"/>
        </w:rPr>
        <w:t xml:space="preserve">Bansod, S., Ahirwar, A. K., Sakarde, A., Asia, P., Gopal, N., Alam, S., Kaim, K., Ahirwar, P., &amp; Sorte, S. R. (2021). COVID-19 and geriatric population: From pathophysiology to clinical perspectives. In </w:t>
      </w:r>
      <w:r w:rsidRPr="00703566">
        <w:rPr>
          <w:rFonts w:ascii="Times New Roman" w:hAnsi="Times New Roman" w:cs="Times New Roman"/>
          <w:i/>
          <w:iCs/>
          <w:noProof/>
          <w:sz w:val="24"/>
          <w:szCs w:val="24"/>
        </w:rPr>
        <w:t>Hormone Molecular Biology and Clinical Investigation</w:t>
      </w:r>
      <w:r w:rsidRPr="00703566">
        <w:rPr>
          <w:rFonts w:ascii="Times New Roman" w:hAnsi="Times New Roman" w:cs="Times New Roman"/>
          <w:noProof/>
          <w:sz w:val="24"/>
          <w:szCs w:val="24"/>
        </w:rPr>
        <w:t xml:space="preserve"> (Vol. 42, Issue 1, pp. 87–98). https://doi.org/10.1515/hmbci-2020-0053</w:t>
      </w:r>
    </w:p>
    <w:p w14:paraId="07367A4B" w14:textId="77777777" w:rsidR="00703566" w:rsidRPr="00703566" w:rsidRDefault="00703566" w:rsidP="00703566">
      <w:pPr>
        <w:numPr>
          <w:ilvl w:val="0"/>
          <w:numId w:val="30"/>
        </w:numPr>
        <w:spacing w:line="480" w:lineRule="auto"/>
        <w:contextualSpacing/>
        <w:jc w:val="both"/>
        <w:rPr>
          <w:noProof/>
        </w:rPr>
      </w:pPr>
      <w:r w:rsidRPr="00703566">
        <w:rPr>
          <w:noProof/>
        </w:rPr>
        <w:fldChar w:fldCharType="end"/>
      </w:r>
      <w:r w:rsidRPr="00703566">
        <w:rPr>
          <w:noProof/>
        </w:rPr>
        <w:fldChar w:fldCharType="begin" w:fldLock="1"/>
      </w:r>
      <w:r w:rsidRPr="00703566">
        <w:rPr>
          <w:noProof/>
        </w:rPr>
        <w:instrText xml:space="preserve">ADDIN Mendeley Bibliography CSL_BIBLIOGRAPHY </w:instrText>
      </w:r>
      <w:r w:rsidRPr="00703566">
        <w:rPr>
          <w:noProof/>
        </w:rPr>
        <w:fldChar w:fldCharType="separate"/>
      </w:r>
      <w:r w:rsidRPr="00703566">
        <w:rPr>
          <w:noProof/>
        </w:rPr>
        <w:t xml:space="preserve">Basu-Ray, I., &amp; Soos, M. P. (2020). Cardiac Manifestations Of Coronavirus (COVID-19). In </w:t>
      </w:r>
      <w:r w:rsidRPr="00703566">
        <w:rPr>
          <w:i/>
          <w:iCs/>
          <w:noProof/>
        </w:rPr>
        <w:t>StatPearls</w:t>
      </w:r>
      <w:r w:rsidRPr="00703566">
        <w:rPr>
          <w:noProof/>
        </w:rPr>
        <w:t xml:space="preserve"> (pp. 1–5). http://www.ncbi.nlm.nih.gov/pubmed/32310612</w:t>
      </w:r>
    </w:p>
    <w:p w14:paraId="4FFE32D6" w14:textId="77777777" w:rsidR="00703566" w:rsidRPr="00703566" w:rsidRDefault="00703566" w:rsidP="00703566">
      <w:pPr>
        <w:widowControl w:val="0"/>
        <w:autoSpaceDE w:val="0"/>
        <w:autoSpaceDN w:val="0"/>
        <w:adjustRightInd w:val="0"/>
        <w:spacing w:line="480" w:lineRule="auto"/>
        <w:jc w:val="both"/>
        <w:rPr>
          <w:rFonts w:ascii="Times New Roman" w:hAnsi="Times New Roman" w:cs="Times New Roman"/>
          <w:noProof/>
          <w:sz w:val="24"/>
          <w:szCs w:val="24"/>
        </w:rPr>
      </w:pPr>
      <w:r w:rsidRPr="00703566">
        <w:rPr>
          <w:rFonts w:ascii="Times New Roman" w:hAnsi="Times New Roman" w:cs="Times New Roman"/>
          <w:noProof/>
          <w:sz w:val="24"/>
          <w:szCs w:val="24"/>
        </w:rPr>
        <w:fldChar w:fldCharType="end"/>
      </w:r>
    </w:p>
    <w:p w14:paraId="65F1204B" w14:textId="77777777" w:rsidR="00703566" w:rsidRPr="00703566" w:rsidRDefault="00703566" w:rsidP="00703566">
      <w:pPr>
        <w:widowControl w:val="0"/>
        <w:autoSpaceDE w:val="0"/>
        <w:autoSpaceDN w:val="0"/>
        <w:adjustRightInd w:val="0"/>
        <w:spacing w:line="480" w:lineRule="auto"/>
        <w:jc w:val="both"/>
        <w:rPr>
          <w:rFonts w:ascii="Times New Roman" w:hAnsi="Times New Roman" w:cs="Times New Roman"/>
          <w:noProof/>
          <w:sz w:val="24"/>
          <w:szCs w:val="24"/>
        </w:rPr>
      </w:pPr>
    </w:p>
    <w:p w14:paraId="6E70D44E"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Bellan, M., Soddu, D., Balbo, P. E., Baricich, A., Zeppegno, P., Avanzi, G. C., Baldon, G., Bartolomei, G., Battaglia, M., Battistini, S., Binda, V., Borg, M., Cantaluppi, V., </w:t>
      </w:r>
      <w:r w:rsidRPr="00703566">
        <w:rPr>
          <w:rFonts w:ascii="Times New Roman" w:hAnsi="Times New Roman" w:cs="Times New Roman"/>
          <w:noProof/>
          <w:sz w:val="24"/>
          <w:szCs w:val="24"/>
        </w:rPr>
        <w:lastRenderedPageBreak/>
        <w:t xml:space="preserve">Castello, L. M., Clivati, E., Cisari, C., Costanzo, M., Croce, A., Cuneo, D., … Pirisi, M. (2021). Respiratory and Psychophysical Sequelae Among Patients With COVID-19 Four Months After Hospital Discharge. </w:t>
      </w:r>
      <w:r w:rsidRPr="00703566">
        <w:rPr>
          <w:rFonts w:ascii="Times New Roman" w:hAnsi="Times New Roman" w:cs="Times New Roman"/>
          <w:i/>
          <w:iCs/>
          <w:noProof/>
          <w:sz w:val="24"/>
          <w:szCs w:val="24"/>
        </w:rPr>
        <w:t>JAMA Network Open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4</w:t>
      </w:r>
      <w:r w:rsidRPr="00703566">
        <w:rPr>
          <w:rFonts w:ascii="Times New Roman" w:hAnsi="Times New Roman" w:cs="Times New Roman"/>
          <w:noProof/>
          <w:sz w:val="24"/>
          <w:szCs w:val="24"/>
        </w:rPr>
        <w:t>(1), e2036142. https://doi.org/10.1001/jamanetworkopen.2020.36142</w:t>
      </w:r>
    </w:p>
    <w:p w14:paraId="798DA639"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Bourdel-Marchasson, I. (2010). How to Improve Nutritional Support in Geriatric Institutions. </w:t>
      </w:r>
      <w:r w:rsidRPr="00703566">
        <w:rPr>
          <w:rFonts w:ascii="Times New Roman" w:hAnsi="Times New Roman" w:cs="Times New Roman"/>
          <w:i/>
          <w:iCs/>
          <w:noProof/>
          <w:sz w:val="24"/>
          <w:szCs w:val="24"/>
        </w:rPr>
        <w:t>Journal of the American Medical Directors Association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11</w:t>
      </w:r>
      <w:r w:rsidRPr="00703566">
        <w:rPr>
          <w:rFonts w:ascii="Times New Roman" w:hAnsi="Times New Roman" w:cs="Times New Roman"/>
          <w:noProof/>
          <w:sz w:val="24"/>
          <w:szCs w:val="24"/>
        </w:rPr>
        <w:t>(1), 13–20. https://doi.org/10.1016/j.jamda.2009.04.003</w:t>
      </w:r>
    </w:p>
    <w:p w14:paraId="4A2EDC81"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Burgess, R. C., Misteli, T., &amp; Oberdoerffer, P. (2012). DNA damage, chromatin, and transcription: The trinity of aging. In </w:t>
      </w:r>
      <w:r w:rsidRPr="00703566">
        <w:rPr>
          <w:rFonts w:ascii="Times New Roman" w:hAnsi="Times New Roman" w:cs="Times New Roman"/>
          <w:i/>
          <w:iCs/>
          <w:noProof/>
          <w:sz w:val="24"/>
          <w:szCs w:val="24"/>
        </w:rPr>
        <w:t>Current Opinion in Cell Biology</w:t>
      </w:r>
      <w:r w:rsidRPr="00703566">
        <w:rPr>
          <w:rFonts w:ascii="Times New Roman" w:hAnsi="Times New Roman" w:cs="Times New Roman"/>
          <w:noProof/>
          <w:sz w:val="24"/>
          <w:szCs w:val="24"/>
        </w:rPr>
        <w:t xml:space="preserve"> (Vol. 24, Issue 6, pp. 724–730). Curr Opin Cell Biol. https://doi.org/10.1016/j.ceb.2012.07.005</w:t>
      </w:r>
    </w:p>
    <w:p w14:paraId="02CE2E3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Cheung, K. S., Hung, I. F. N., Chan, P. P. Y., Lung, K. C., Tso, E., Liu, R., Ng, Y. Y., Chu, M. Y., Chung, T. W. H., Tam, A. R., Yip, C. C. Y., Leung, K. H., Fung, A. Y. F., Zhang, R. R., Lin, Y., Cheng, H. M., Zhang, A. J. X., To, K. K. W., Chan, K. H., … Leung, W. K. (2020). Gastrointestinal Manifestations of SARS-CoV-2 Infection and Virus Load in Fecal Samples From a Hong Kong Cohort: Systematic Review and Meta-analysis. </w:t>
      </w:r>
      <w:r w:rsidRPr="00703566">
        <w:rPr>
          <w:rFonts w:ascii="Times New Roman" w:hAnsi="Times New Roman" w:cs="Times New Roman"/>
          <w:i/>
          <w:iCs/>
          <w:noProof/>
          <w:sz w:val="24"/>
          <w:szCs w:val="24"/>
        </w:rPr>
        <w:t>Gastroenterology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159</w:t>
      </w:r>
      <w:r w:rsidRPr="00703566">
        <w:rPr>
          <w:rFonts w:ascii="Times New Roman" w:hAnsi="Times New Roman" w:cs="Times New Roman"/>
          <w:noProof/>
          <w:sz w:val="24"/>
          <w:szCs w:val="24"/>
        </w:rPr>
        <w:t>(1). https://doi.org/10.1053/j.gastro.2020.03.065</w:t>
      </w:r>
    </w:p>
    <w:p w14:paraId="3ACE9B7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Childs, Calder, &amp; Miles. (2019). Diet and Immune Function. </w:t>
      </w:r>
      <w:r w:rsidRPr="00703566">
        <w:rPr>
          <w:rFonts w:ascii="Times New Roman" w:hAnsi="Times New Roman" w:cs="Times New Roman"/>
          <w:i/>
          <w:iCs/>
          <w:noProof/>
          <w:sz w:val="24"/>
          <w:szCs w:val="24"/>
        </w:rPr>
        <w:t>Nutrients</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11</w:t>
      </w:r>
      <w:r w:rsidRPr="00703566">
        <w:rPr>
          <w:rFonts w:ascii="Times New Roman" w:hAnsi="Times New Roman" w:cs="Times New Roman"/>
          <w:noProof/>
          <w:sz w:val="24"/>
          <w:szCs w:val="24"/>
        </w:rPr>
        <w:t>(8), 1933. https://doi.org/10.3390/nu11081933</w:t>
      </w:r>
    </w:p>
    <w:p w14:paraId="232DF3C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Cipriani, G., Danti, S., Nuti, A., Carlesi, C., Lucetti, C., &amp; Di Fiorino, M. (2020). A complication of coronavirus disease 2019: delirium. </w:t>
      </w:r>
      <w:r w:rsidRPr="00703566">
        <w:rPr>
          <w:rFonts w:ascii="Times New Roman" w:hAnsi="Times New Roman" w:cs="Times New Roman"/>
          <w:i/>
          <w:iCs/>
          <w:noProof/>
          <w:sz w:val="24"/>
          <w:szCs w:val="24"/>
        </w:rPr>
        <w:t>Acta Neurologica Belgica</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120</w:t>
      </w:r>
      <w:r w:rsidRPr="00703566">
        <w:rPr>
          <w:rFonts w:ascii="Times New Roman" w:hAnsi="Times New Roman" w:cs="Times New Roman"/>
          <w:noProof/>
          <w:sz w:val="24"/>
          <w:szCs w:val="24"/>
        </w:rPr>
        <w:t>(4), 927–932. https://doi.org/10.1007/s13760-020-01401-7</w:t>
      </w:r>
    </w:p>
    <w:p w14:paraId="34EDECD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Closs, V. E., Ziegelmann, P. K., Flores, J. H. F., Gomes, I., &amp; Schwanke, C. H. A. (2017). Anthropometric Measures and Frailty Prediction in the Elderly: An Easy-to-Use Tool. </w:t>
      </w:r>
      <w:r w:rsidRPr="00703566">
        <w:rPr>
          <w:rFonts w:ascii="Times New Roman" w:hAnsi="Times New Roman" w:cs="Times New Roman"/>
          <w:i/>
          <w:iCs/>
          <w:noProof/>
          <w:sz w:val="24"/>
          <w:szCs w:val="24"/>
        </w:rPr>
        <w:t>Current Gerontology and Geriatrics Research</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2017</w:t>
      </w:r>
      <w:r w:rsidRPr="00703566">
        <w:rPr>
          <w:rFonts w:ascii="Times New Roman" w:hAnsi="Times New Roman" w:cs="Times New Roman"/>
          <w:noProof/>
          <w:sz w:val="24"/>
          <w:szCs w:val="24"/>
        </w:rPr>
        <w:t>, 1–8. https://doi.org/10.1155/2017/8703503</w:t>
      </w:r>
    </w:p>
    <w:p w14:paraId="26A3BBE3"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lastRenderedPageBreak/>
        <w:t xml:space="preserve">D’Adamo, H., Yoshikawa, T., &amp; Ouslander, J. G. (2020). Coronavirus Disease 2019 in Geriatrics and Long-Term Care: The ABCDs of COVID-19. </w:t>
      </w:r>
      <w:r w:rsidRPr="00703566">
        <w:rPr>
          <w:rFonts w:ascii="Times New Roman" w:hAnsi="Times New Roman" w:cs="Times New Roman"/>
          <w:i/>
          <w:iCs/>
          <w:noProof/>
          <w:sz w:val="24"/>
          <w:szCs w:val="24"/>
        </w:rPr>
        <w:t>Journal of the American Geriatrics Society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68</w:t>
      </w:r>
      <w:r w:rsidRPr="00703566">
        <w:rPr>
          <w:rFonts w:ascii="Times New Roman" w:hAnsi="Times New Roman" w:cs="Times New Roman"/>
          <w:noProof/>
          <w:sz w:val="24"/>
          <w:szCs w:val="24"/>
        </w:rPr>
        <w:t>(5). https://doi.org/10.1111/jgs.16445</w:t>
      </w:r>
    </w:p>
    <w:p w14:paraId="726BCDC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De</w:t>
      </w:r>
      <w:r w:rsidRPr="00703566">
        <w:rPr>
          <w:rFonts w:ascii="Times New Roman" w:hAnsi="Times New Roman" w:cs="Times New Roman"/>
          <w:noProof/>
          <w:sz w:val="24"/>
          <w:szCs w:val="24"/>
        </w:rPr>
        <w:fldChar w:fldCharType="begin" w:fldLock="1"/>
      </w:r>
      <w:r w:rsidRPr="00703566">
        <w:rPr>
          <w:rFonts w:ascii="Times New Roman" w:hAnsi="Times New Roman" w:cs="Times New Roman"/>
          <w:noProof/>
          <w:sz w:val="24"/>
          <w:szCs w:val="24"/>
        </w:rPr>
        <w:instrText xml:space="preserve">ADDIN Mendeley Bibliography CSL_BIBLIOGRAPHY </w:instrText>
      </w:r>
      <w:r w:rsidRPr="00703566">
        <w:rPr>
          <w:rFonts w:ascii="Times New Roman" w:hAnsi="Times New Roman" w:cs="Times New Roman"/>
          <w:noProof/>
          <w:sz w:val="24"/>
          <w:szCs w:val="24"/>
        </w:rPr>
        <w:fldChar w:fldCharType="separate"/>
      </w:r>
      <w:r w:rsidRPr="00703566">
        <w:rPr>
          <w:rFonts w:ascii="Times New Roman" w:hAnsi="Times New Roman" w:cs="Times New Roman"/>
          <w:noProof/>
          <w:sz w:val="24"/>
          <w:szCs w:val="24"/>
        </w:rPr>
        <w:t xml:space="preserve"> Clerck, F. (2020). Longstanding gastrointestinal symptoms after covid-19. In </w:t>
      </w:r>
      <w:r w:rsidRPr="00703566">
        <w:rPr>
          <w:rFonts w:ascii="Times New Roman" w:hAnsi="Times New Roman" w:cs="Times New Roman"/>
          <w:i/>
          <w:iCs/>
          <w:noProof/>
          <w:sz w:val="24"/>
          <w:szCs w:val="24"/>
        </w:rPr>
        <w:t>Acta Gastro-Enterologica Belgica</w:t>
      </w:r>
      <w:r w:rsidRPr="00703566">
        <w:rPr>
          <w:rFonts w:ascii="Times New Roman" w:hAnsi="Times New Roman" w:cs="Times New Roman"/>
          <w:noProof/>
          <w:sz w:val="24"/>
          <w:szCs w:val="24"/>
        </w:rPr>
        <w:t xml:space="preserve"> (Vol. 83, Issue 4, pp. 1–6).</w:t>
      </w:r>
    </w:p>
    <w:p w14:paraId="2CC13A3C" w14:textId="77777777" w:rsidR="00703566" w:rsidRPr="00703566" w:rsidRDefault="00703566" w:rsidP="00703566">
      <w:pPr>
        <w:numPr>
          <w:ilvl w:val="0"/>
          <w:numId w:val="30"/>
        </w:numPr>
        <w:spacing w:line="480" w:lineRule="auto"/>
        <w:contextualSpacing/>
        <w:jc w:val="both"/>
        <w:rPr>
          <w:noProof/>
        </w:rPr>
      </w:pPr>
      <w:r w:rsidRPr="00703566">
        <w:rPr>
          <w:noProof/>
        </w:rPr>
        <w:fldChar w:fldCharType="end"/>
      </w:r>
      <w:r w:rsidRPr="00703566">
        <w:rPr>
          <w:noProof/>
        </w:rPr>
        <w:t xml:space="preserve">Di Renzo, L., Gualtieri, P., Pivari, F., Soldati, L., Attinà, A., Cinelli, G., Cinelli, G., Leggeri,  C., Caparello, G., Barrea, L., Scerbo, F., Esposito, E., &amp; De Lorenzo, A. (2020). Eating habits and lifestyle changes during COVID-19 lockdown: An Italian survey. </w:t>
      </w:r>
      <w:r w:rsidRPr="00703566">
        <w:rPr>
          <w:i/>
          <w:iCs/>
          <w:noProof/>
        </w:rPr>
        <w:t>Journal of Translational Medicine</w:t>
      </w:r>
      <w:r w:rsidRPr="00703566">
        <w:rPr>
          <w:noProof/>
        </w:rPr>
        <w:t xml:space="preserve">, </w:t>
      </w:r>
      <w:r w:rsidRPr="00703566">
        <w:rPr>
          <w:i/>
          <w:iCs/>
          <w:noProof/>
        </w:rPr>
        <w:t>18</w:t>
      </w:r>
      <w:r w:rsidRPr="00703566">
        <w:rPr>
          <w:noProof/>
        </w:rPr>
        <w:t>(1), 229. https://doi.org/10.1186/s12967-020-02399-5</w:t>
      </w:r>
    </w:p>
    <w:p w14:paraId="0BE3D07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fldChar w:fldCharType="begin" w:fldLock="1"/>
      </w:r>
      <w:r w:rsidRPr="00703566">
        <w:rPr>
          <w:rFonts w:ascii="Times New Roman" w:hAnsi="Times New Roman" w:cs="Times New Roman"/>
          <w:noProof/>
          <w:sz w:val="24"/>
          <w:szCs w:val="24"/>
        </w:rPr>
        <w:instrText xml:space="preserve">ADDIN Mendeley Bibliography CSL_BIBLIOGRAPHY </w:instrText>
      </w:r>
      <w:r w:rsidRPr="00703566">
        <w:rPr>
          <w:rFonts w:ascii="Times New Roman" w:hAnsi="Times New Roman" w:cs="Times New Roman"/>
          <w:noProof/>
          <w:sz w:val="24"/>
          <w:szCs w:val="24"/>
        </w:rPr>
        <w:fldChar w:fldCharType="separate"/>
      </w:r>
      <w:r w:rsidRPr="00703566">
        <w:rPr>
          <w:rFonts w:ascii="Times New Roman" w:hAnsi="Times New Roman" w:cs="Times New Roman"/>
          <w:noProof/>
          <w:sz w:val="24"/>
          <w:szCs w:val="24"/>
        </w:rPr>
        <w:t xml:space="preserve">Emmerton, D., &amp; Abdelhafiz, A. (2020). Delirium in Older People with COVID-19: Clinical Scenario and Literature Review. </w:t>
      </w:r>
      <w:r w:rsidRPr="00703566">
        <w:rPr>
          <w:rFonts w:ascii="Times New Roman" w:hAnsi="Times New Roman" w:cs="Times New Roman"/>
          <w:i/>
          <w:iCs/>
          <w:noProof/>
          <w:sz w:val="24"/>
          <w:szCs w:val="24"/>
        </w:rPr>
        <w:t>SN Comprehensive Clinical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w:t>
      </w:r>
      <w:r w:rsidRPr="00703566">
        <w:rPr>
          <w:rFonts w:ascii="Times New Roman" w:hAnsi="Times New Roman" w:cs="Times New Roman"/>
          <w:noProof/>
          <w:sz w:val="24"/>
          <w:szCs w:val="24"/>
        </w:rPr>
        <w:t>(10), 1790–1797. https://doi.org/10.1007/s42399-020-00474-y</w:t>
      </w:r>
    </w:p>
    <w:p w14:paraId="3DC10F57" w14:textId="77777777" w:rsidR="00703566" w:rsidRPr="00703566" w:rsidRDefault="00703566" w:rsidP="00703566">
      <w:pPr>
        <w:numPr>
          <w:ilvl w:val="0"/>
          <w:numId w:val="30"/>
        </w:numPr>
        <w:spacing w:line="480" w:lineRule="auto"/>
        <w:contextualSpacing/>
        <w:jc w:val="both"/>
        <w:rPr>
          <w:noProof/>
        </w:rPr>
      </w:pPr>
      <w:r w:rsidRPr="00703566">
        <w:rPr>
          <w:noProof/>
        </w:rPr>
        <w:fldChar w:fldCharType="end"/>
      </w:r>
      <w:r w:rsidRPr="00703566">
        <w:rPr>
          <w:noProof/>
        </w:rPr>
        <w:t xml:space="preserve">Farzianpour, F., Foroushani, A. R., Badakhshan, A., &amp; Gholipour, M. (2015). The Relationship between Quality of Life with Demographic Variables of Elderly in Golestan Province-Iran. </w:t>
      </w:r>
      <w:r w:rsidRPr="00703566">
        <w:rPr>
          <w:i/>
          <w:iCs/>
          <w:noProof/>
        </w:rPr>
        <w:t>Health</w:t>
      </w:r>
      <w:r w:rsidRPr="00703566">
        <w:rPr>
          <w:noProof/>
        </w:rPr>
        <w:t xml:space="preserve">, </w:t>
      </w:r>
      <w:r w:rsidRPr="00703566">
        <w:rPr>
          <w:i/>
          <w:iCs/>
          <w:noProof/>
        </w:rPr>
        <w:t>07</w:t>
      </w:r>
      <w:r w:rsidRPr="00703566">
        <w:rPr>
          <w:noProof/>
        </w:rPr>
        <w:t>(05), 507–513. https://doi.org/10.4236/health.2015.75060</w:t>
      </w:r>
    </w:p>
    <w:p w14:paraId="3276599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Frasca, D., &amp; Blomberg, B. B. (2009). Effects of aging on B cell function. In </w:t>
      </w:r>
      <w:r w:rsidRPr="00703566">
        <w:rPr>
          <w:rFonts w:ascii="Times New Roman" w:hAnsi="Times New Roman" w:cs="Times New Roman"/>
          <w:i/>
          <w:iCs/>
          <w:noProof/>
          <w:sz w:val="24"/>
          <w:szCs w:val="24"/>
        </w:rPr>
        <w:t>Current Opinion in Immunology</w:t>
      </w:r>
      <w:r w:rsidRPr="00703566">
        <w:rPr>
          <w:rFonts w:ascii="Times New Roman" w:hAnsi="Times New Roman" w:cs="Times New Roman"/>
          <w:noProof/>
          <w:sz w:val="24"/>
          <w:szCs w:val="24"/>
        </w:rPr>
        <w:t xml:space="preserve"> (Vol. 21, Issue 4, pp. 425–430). https://doi.org/10.1016/j.coi.2009.06.001</w:t>
      </w:r>
    </w:p>
    <w:p w14:paraId="0157DFA9"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fldChar w:fldCharType="begin" w:fldLock="1"/>
      </w:r>
      <w:r w:rsidRPr="00703566">
        <w:rPr>
          <w:rFonts w:ascii="Times New Roman" w:hAnsi="Times New Roman" w:cs="Times New Roman"/>
          <w:noProof/>
          <w:sz w:val="24"/>
          <w:szCs w:val="24"/>
        </w:rPr>
        <w:instrText xml:space="preserve">ADDIN Mendeley Bibliography CSL_BIBLIOGRAPHY </w:instrText>
      </w:r>
      <w:r w:rsidRPr="00703566">
        <w:rPr>
          <w:rFonts w:ascii="Times New Roman" w:hAnsi="Times New Roman" w:cs="Times New Roman"/>
          <w:noProof/>
          <w:sz w:val="24"/>
          <w:szCs w:val="24"/>
        </w:rPr>
        <w:fldChar w:fldCharType="separate"/>
      </w:r>
      <w:r w:rsidRPr="00703566">
        <w:rPr>
          <w:rFonts w:ascii="Times New Roman" w:hAnsi="Times New Roman" w:cs="Times New Roman"/>
          <w:noProof/>
          <w:sz w:val="24"/>
          <w:szCs w:val="24"/>
        </w:rPr>
        <w:t xml:space="preserve">García-Portilla, P., de la Fuente Tomás, L., Bobes-Bascarán, T., Jiménez Treviño, L., Zurrón Madera, P., Suárez Álvarez, M., Menéndez Miranda, I., García Álvarez, L., Sáiz Martínez, P. A., &amp; Bobes, J. (2020). Are older adults also at higher psychological risk from COVID-19? In </w:t>
      </w:r>
      <w:r w:rsidRPr="00703566">
        <w:rPr>
          <w:rFonts w:ascii="Times New Roman" w:hAnsi="Times New Roman" w:cs="Times New Roman"/>
          <w:i/>
          <w:iCs/>
          <w:noProof/>
          <w:sz w:val="24"/>
          <w:szCs w:val="24"/>
        </w:rPr>
        <w:t>Aging and Mental Health</w:t>
      </w:r>
      <w:r w:rsidRPr="00703566">
        <w:rPr>
          <w:rFonts w:ascii="Times New Roman" w:hAnsi="Times New Roman" w:cs="Times New Roman"/>
          <w:noProof/>
          <w:sz w:val="24"/>
          <w:szCs w:val="24"/>
        </w:rPr>
        <w:t xml:space="preserve"> (pp. 2–9). https://doi.org/10.1080/13607863.2020.1805723</w:t>
      </w:r>
    </w:p>
    <w:p w14:paraId="232BF5CB" w14:textId="77777777" w:rsidR="00703566" w:rsidRPr="00703566" w:rsidRDefault="00703566" w:rsidP="00703566">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sidRPr="00703566">
        <w:rPr>
          <w:rFonts w:ascii="Times New Roman" w:hAnsi="Times New Roman" w:cs="Times New Roman"/>
          <w:noProof/>
          <w:sz w:val="24"/>
          <w:szCs w:val="24"/>
        </w:rPr>
        <w:fldChar w:fldCharType="end"/>
      </w:r>
    </w:p>
    <w:p w14:paraId="6881245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Garciá Rodríguez, M., Romero Saldanã, M., Alcaide Leyva, J. M., Moreno Rojas, R., </w:t>
      </w:r>
      <w:r w:rsidRPr="00703566">
        <w:rPr>
          <w:rFonts w:ascii="Times New Roman" w:hAnsi="Times New Roman" w:cs="Times New Roman"/>
          <w:noProof/>
          <w:sz w:val="24"/>
          <w:szCs w:val="24"/>
        </w:rPr>
        <w:lastRenderedPageBreak/>
        <w:t xml:space="preserve">&amp; Molina Recio, G. (2019). Design and validation of a food frequency questionnaire (FFQ) for the nutritional evaluation of food intake in the Peruvian Amazon. </w:t>
      </w:r>
      <w:r w:rsidRPr="00703566">
        <w:rPr>
          <w:rFonts w:ascii="Times New Roman" w:hAnsi="Times New Roman" w:cs="Times New Roman"/>
          <w:i/>
          <w:iCs/>
          <w:noProof/>
          <w:sz w:val="24"/>
          <w:szCs w:val="24"/>
        </w:rPr>
        <w:t>Journal of Health, Population and Nutrition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38</w:t>
      </w:r>
      <w:r w:rsidRPr="00703566">
        <w:rPr>
          <w:rFonts w:ascii="Times New Roman" w:hAnsi="Times New Roman" w:cs="Times New Roman"/>
          <w:noProof/>
          <w:sz w:val="24"/>
          <w:szCs w:val="24"/>
        </w:rPr>
        <w:t>(1), 47. https://doi.org/10.1186/s41043-019-0199-8</w:t>
      </w:r>
    </w:p>
    <w:p w14:paraId="3D5C20C5"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Gu, J., &amp; Korteweg, C. (2007). Pathology and pathogenesis of severe acute respiratory syndrome. In </w:t>
      </w:r>
      <w:r w:rsidRPr="00703566">
        <w:rPr>
          <w:rFonts w:ascii="Times New Roman" w:hAnsi="Times New Roman" w:cs="Times New Roman"/>
          <w:i/>
          <w:iCs/>
          <w:noProof/>
          <w:sz w:val="24"/>
          <w:szCs w:val="24"/>
        </w:rPr>
        <w:t>American Journal of Pathology</w:t>
      </w:r>
      <w:r w:rsidRPr="00703566">
        <w:rPr>
          <w:rFonts w:ascii="Times New Roman" w:hAnsi="Times New Roman" w:cs="Times New Roman"/>
          <w:noProof/>
          <w:sz w:val="24"/>
          <w:szCs w:val="24"/>
        </w:rPr>
        <w:t xml:space="preserve"> (Vol. 170, Issue 4, pp. 1136–1147). Elsevier Inc. https://doi.org/10.2353/ajpath.2007.061088</w:t>
      </w:r>
    </w:p>
    <w:p w14:paraId="1261EACE"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Guo, T., Shen, Q., Guo, W., He, W., Li, J., Zhang, Y., Wang, Y., Zhou, Z., Deng, D., Ouyang, X., Xiang, Z., Jiang, M., Liang, M., Huang, P., Peng, Z., Xiang, X., Liu, W., Luo, H., Chen, P., &amp; Peng, H. (2020). Clinical Characteristics of Elderly Patients with COVID-19 in Hunan Province, China: A Multicenter, Retrospective Study. </w:t>
      </w:r>
      <w:r w:rsidRPr="00703566">
        <w:rPr>
          <w:rFonts w:ascii="Times New Roman" w:hAnsi="Times New Roman" w:cs="Times New Roman"/>
          <w:i/>
          <w:iCs/>
          <w:noProof/>
          <w:sz w:val="24"/>
          <w:szCs w:val="24"/>
        </w:rPr>
        <w:t>Gerontology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66</w:t>
      </w:r>
      <w:r w:rsidRPr="00703566">
        <w:rPr>
          <w:rFonts w:ascii="Times New Roman" w:hAnsi="Times New Roman" w:cs="Times New Roman"/>
          <w:noProof/>
          <w:sz w:val="24"/>
          <w:szCs w:val="24"/>
        </w:rPr>
        <w:t>(5), 467–475. https://doi.org/10.1159/000508734</w:t>
      </w:r>
    </w:p>
    <w:p w14:paraId="51798E04"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Helms, J., Kremer, S., Merdji, H., Schenck, M., Severac, F., Clere-Jehl, R., Studer, A., Radosavljevic, M., Kummerlen, C., Monnier, A., Boulay, C., Fafi-Kremer, S., Castelain, V., Ohana, M., Anheim, M., Schneider, F., &amp; Meziani, F. (2020). Delirium and encephalopathy in severe COVID-19: A cohort analysis of ICU patients. </w:t>
      </w:r>
      <w:r w:rsidRPr="00703566">
        <w:rPr>
          <w:rFonts w:ascii="Times New Roman" w:hAnsi="Times New Roman" w:cs="Times New Roman"/>
          <w:i/>
          <w:iCs/>
          <w:noProof/>
          <w:sz w:val="24"/>
          <w:szCs w:val="24"/>
        </w:rPr>
        <w:t>Critical Care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24</w:t>
      </w:r>
      <w:r w:rsidRPr="00703566">
        <w:rPr>
          <w:rFonts w:ascii="Times New Roman" w:hAnsi="Times New Roman" w:cs="Times New Roman"/>
          <w:noProof/>
          <w:sz w:val="24"/>
          <w:szCs w:val="24"/>
        </w:rPr>
        <w:t>(1), 491. https://doi.org/10.1186/s13054-020-03200-1</w:t>
      </w:r>
    </w:p>
    <w:p w14:paraId="3F4A1D99"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Hetherington, M. M. (2000). Eating disorders: Diagnosis, etiology, and prevention. </w:t>
      </w:r>
      <w:r w:rsidRPr="00703566">
        <w:rPr>
          <w:rFonts w:ascii="Times New Roman" w:hAnsi="Times New Roman" w:cs="Times New Roman"/>
          <w:i/>
          <w:iCs/>
          <w:noProof/>
          <w:sz w:val="24"/>
          <w:szCs w:val="24"/>
        </w:rPr>
        <w:t>Nutrition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16</w:t>
      </w:r>
      <w:r w:rsidRPr="00703566">
        <w:rPr>
          <w:rFonts w:ascii="Times New Roman" w:hAnsi="Times New Roman" w:cs="Times New Roman"/>
          <w:noProof/>
          <w:sz w:val="24"/>
          <w:szCs w:val="24"/>
        </w:rPr>
        <w:t>(7–8), 547–551. https://doi.org/10.1016/S0899-9007(00)00320-8</w:t>
      </w:r>
    </w:p>
    <w:p w14:paraId="195E50E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Hossain, M. M., Tasnim, S., Sultana, A., Faizah, F., Mazumder, H., Zou, L., McKyer, E. L. J., Ahmed, H. U., &amp; Ma, P. (2020). Epidemiology of mental health problems in COVID-19: (Vol. 9). F1000 Research Ltd. https://doi.org/10.12688/f1000research.24457.1</w:t>
      </w:r>
    </w:p>
    <w:p w14:paraId="52515021"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Hu, Z., Song, C., Xu, C., Jin, G., Chen, Y., Xu, X., Ma, H., Chen, W., Lin, Y., Zheng, Y., Wang, J., Hu, Z., Yi, Y., &amp; Shen, H. (2020). Clinical characteristics of 24 </w:t>
      </w:r>
      <w:r w:rsidRPr="00703566">
        <w:rPr>
          <w:rFonts w:ascii="Times New Roman" w:hAnsi="Times New Roman" w:cs="Times New Roman"/>
          <w:noProof/>
          <w:sz w:val="24"/>
          <w:szCs w:val="24"/>
        </w:rPr>
        <w:lastRenderedPageBreak/>
        <w:t xml:space="preserve">asymptomatic infections with COVID-19 screened among close contacts in Nanjing, China. </w:t>
      </w:r>
      <w:r w:rsidRPr="00703566">
        <w:rPr>
          <w:rFonts w:ascii="Times New Roman" w:hAnsi="Times New Roman" w:cs="Times New Roman"/>
          <w:i/>
          <w:iCs/>
          <w:noProof/>
          <w:sz w:val="24"/>
          <w:szCs w:val="24"/>
        </w:rPr>
        <w:t>Science China Life Sciences</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63</w:t>
      </w:r>
      <w:r w:rsidRPr="00703566">
        <w:rPr>
          <w:rFonts w:ascii="Times New Roman" w:hAnsi="Times New Roman" w:cs="Times New Roman"/>
          <w:noProof/>
          <w:sz w:val="24"/>
          <w:szCs w:val="24"/>
        </w:rPr>
        <w:t>(5), 706–711. https://doi.org/10.1007/s11427-020-1661-4</w:t>
      </w:r>
    </w:p>
    <w:p w14:paraId="147BE905"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Huang, Y., Tan, C., Wu, J., Chen, M., Wang, Z., Luo, L., Zhou, X., Liu, X., Huang, X., Yuan, S., Chen, C., Gao, F., Huang, J., Shan, H., &amp; Liu, J. (2020). Impact of coronavirus disease 2019 on pulmonary function in early convalescence phase. In </w:t>
      </w:r>
      <w:r w:rsidRPr="00703566">
        <w:rPr>
          <w:rFonts w:ascii="Times New Roman" w:hAnsi="Times New Roman" w:cs="Times New Roman"/>
          <w:i/>
          <w:iCs/>
          <w:noProof/>
          <w:sz w:val="24"/>
          <w:szCs w:val="24"/>
        </w:rPr>
        <w:t>Respiratory Research</w:t>
      </w:r>
      <w:r w:rsidRPr="00703566">
        <w:rPr>
          <w:rFonts w:ascii="Times New Roman" w:hAnsi="Times New Roman" w:cs="Times New Roman"/>
          <w:noProof/>
          <w:sz w:val="24"/>
          <w:szCs w:val="24"/>
        </w:rPr>
        <w:t xml:space="preserve"> (Vol. 21, Issue 1). BioMed Central. https://doi.org/10.1186/s12931-020-01429-6</w:t>
      </w:r>
    </w:p>
    <w:p w14:paraId="70A70EEC"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Katzman, R., Brown, T., Fuld, P., Peck, A., Schechter, R., &amp; Schimmel, H. (1983). Validation of a short orientation-memory-concentration test of congestive impairment. In </w:t>
      </w:r>
      <w:r w:rsidRPr="00703566">
        <w:rPr>
          <w:rFonts w:ascii="Times New Roman" w:hAnsi="Times New Roman" w:cs="Times New Roman"/>
          <w:i/>
          <w:iCs/>
          <w:noProof/>
          <w:sz w:val="24"/>
          <w:szCs w:val="24"/>
        </w:rPr>
        <w:t>American Journal of Psychiatry</w:t>
      </w:r>
      <w:r w:rsidRPr="00703566">
        <w:rPr>
          <w:rFonts w:ascii="Times New Roman" w:hAnsi="Times New Roman" w:cs="Times New Roman"/>
          <w:noProof/>
          <w:sz w:val="24"/>
          <w:szCs w:val="24"/>
        </w:rPr>
        <w:t xml:space="preserve"> (Vol. 140, Issue 6, pp. 734–739). https://doi.org/10.1176/ajp.140.6.734</w:t>
      </w:r>
    </w:p>
    <w:p w14:paraId="53F47715"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Koren-Hakim, T., Weiss, A., Hershkovitz, A., Otzrateni, I., Anbar, R., Gross Nevo, R. F., Schlesinger, A., Frishman, S., Salai, M., &amp; Beloosesky, Y. (2016). Comparing the adequacy of the MNA-SF, NRS-2002 and MUST nutritional tools in assessing malnutrition in hip fracture operated elderly patients. </w:t>
      </w:r>
      <w:r w:rsidRPr="00703566">
        <w:rPr>
          <w:rFonts w:ascii="Times New Roman" w:hAnsi="Times New Roman" w:cs="Times New Roman"/>
          <w:i/>
          <w:iCs/>
          <w:noProof/>
          <w:sz w:val="24"/>
          <w:szCs w:val="24"/>
        </w:rPr>
        <w:t>Clinical Nutrition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35</w:t>
      </w:r>
      <w:r w:rsidRPr="00703566">
        <w:rPr>
          <w:rFonts w:ascii="Times New Roman" w:hAnsi="Times New Roman" w:cs="Times New Roman"/>
          <w:noProof/>
          <w:sz w:val="24"/>
          <w:szCs w:val="24"/>
        </w:rPr>
        <w:t>(5), 1053–1058. https://doi.org/10.1016/j.clnu.2015.07.014</w:t>
      </w:r>
    </w:p>
    <w:p w14:paraId="64894A8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Kukreja, D., Günther, U., &amp; Popp, J. (2015). Delirium in the elderly: Current problems with increasing geriatric age. In </w:t>
      </w:r>
      <w:r w:rsidRPr="00703566">
        <w:rPr>
          <w:rFonts w:ascii="Times New Roman" w:hAnsi="Times New Roman" w:cs="Times New Roman"/>
          <w:i/>
          <w:iCs/>
          <w:noProof/>
          <w:sz w:val="24"/>
          <w:szCs w:val="24"/>
        </w:rPr>
        <w:t>Indian Journal of Medical Research</w:t>
      </w:r>
      <w:r w:rsidRPr="00703566">
        <w:rPr>
          <w:rFonts w:ascii="Times New Roman" w:hAnsi="Times New Roman" w:cs="Times New Roman"/>
          <w:noProof/>
          <w:sz w:val="24"/>
          <w:szCs w:val="24"/>
        </w:rPr>
        <w:t xml:space="preserve"> (Vol. 142, Issue 6, pp. 655–662). Indian Council of Medical Research. https://doi.org/10.4103/0971-5916.174546</w:t>
      </w:r>
    </w:p>
    <w:p w14:paraId="01FC039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Lafrenière, J., Laramée, C., Robitaille, J., Lamarche, B., &amp; Lemieux, S. (2019). Relative validity of a web-based, self-administered, 24-h dietary recall to evaluate adherence to Canadian dietary guidelines. </w:t>
      </w:r>
      <w:r w:rsidRPr="00703566">
        <w:rPr>
          <w:rFonts w:ascii="Times New Roman" w:hAnsi="Times New Roman" w:cs="Times New Roman"/>
          <w:i/>
          <w:iCs/>
          <w:noProof/>
          <w:sz w:val="24"/>
          <w:szCs w:val="24"/>
        </w:rPr>
        <w:t>Nutrition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57</w:t>
      </w:r>
      <w:r w:rsidRPr="00703566">
        <w:rPr>
          <w:rFonts w:ascii="Times New Roman" w:hAnsi="Times New Roman" w:cs="Times New Roman"/>
          <w:noProof/>
          <w:sz w:val="24"/>
          <w:szCs w:val="24"/>
        </w:rPr>
        <w:t>, 252–256. https://doi.org/10.1016/j.nut.2018.04.016</w:t>
      </w:r>
    </w:p>
    <w:p w14:paraId="3C2291B2"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lastRenderedPageBreak/>
        <w:t xml:space="preserve">Landi, F., Calvani, R., Tosato, M., Martone, A. M., Ortolani, E., Savera, G., Sisto, A., &amp; Marzetti, E. (2016). Anorexia of aging: Risk factors, consequences, and potential treatments. In </w:t>
      </w:r>
      <w:r w:rsidRPr="00703566">
        <w:rPr>
          <w:rFonts w:ascii="Times New Roman" w:hAnsi="Times New Roman" w:cs="Times New Roman"/>
          <w:i/>
          <w:iCs/>
          <w:noProof/>
          <w:sz w:val="24"/>
          <w:szCs w:val="24"/>
        </w:rPr>
        <w:t>Nutrients</w:t>
      </w:r>
      <w:r w:rsidRPr="00703566">
        <w:rPr>
          <w:rFonts w:ascii="Times New Roman" w:hAnsi="Times New Roman" w:cs="Times New Roman"/>
          <w:noProof/>
          <w:sz w:val="24"/>
          <w:szCs w:val="24"/>
        </w:rPr>
        <w:t xml:space="preserve"> (Vol. 8, Issue 2). MDPI AG. https://doi.org/10.3390/nu8020069</w:t>
      </w:r>
    </w:p>
    <w:p w14:paraId="153C2B5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Lechien, J. R., Chiesa-Estomba, C. M., De Siati, D. R., Horoi, M., Le Bon, S. D., Rodriguez, A., Dequanter, D., Blecic, S., El Afia, F., Distinguin, L., Chekkoury-Idrissi, Y., Hans, S., Delgado, I. L., Calvo-Henriquez, C., Lavigne, P., Falanga, C., Barillari, M. R., Cammaroto, G., Khalife, M., … Saussez, S. (2020). Olfactory and gustatory dysfunctions as a clinical presentation of mild-to-moderate forms of the coronavirus disease (COVID-19): a multicenter European study. </w:t>
      </w:r>
      <w:r w:rsidRPr="00703566">
        <w:rPr>
          <w:rFonts w:ascii="Times New Roman" w:hAnsi="Times New Roman" w:cs="Times New Roman"/>
          <w:i/>
          <w:iCs/>
          <w:noProof/>
          <w:sz w:val="24"/>
          <w:szCs w:val="24"/>
        </w:rPr>
        <w:t>European Archives of Oto-Rhino-Laryngology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277</w:t>
      </w:r>
      <w:r w:rsidRPr="00703566">
        <w:rPr>
          <w:rFonts w:ascii="Times New Roman" w:hAnsi="Times New Roman" w:cs="Times New Roman"/>
          <w:noProof/>
          <w:sz w:val="24"/>
          <w:szCs w:val="24"/>
        </w:rPr>
        <w:t>(8). https://doi.org/10.1007/s00405-020-05965-1</w:t>
      </w:r>
    </w:p>
    <w:p w14:paraId="405772A3"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Lee, H. M., Liu, M. A., Barrett-Connor, E., &amp; Wong, N. D. (2014). Association of lung function with coronary heart disease and cardiovascular disease outcomes in elderly: The Rancho Bernardo study. </w:t>
      </w:r>
      <w:r w:rsidRPr="00703566">
        <w:rPr>
          <w:rFonts w:ascii="Times New Roman" w:hAnsi="Times New Roman" w:cs="Times New Roman"/>
          <w:i/>
          <w:iCs/>
          <w:noProof/>
          <w:sz w:val="24"/>
          <w:szCs w:val="24"/>
        </w:rPr>
        <w:t>Respiratory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108</w:t>
      </w:r>
      <w:r w:rsidRPr="00703566">
        <w:rPr>
          <w:rFonts w:ascii="Times New Roman" w:hAnsi="Times New Roman" w:cs="Times New Roman"/>
          <w:noProof/>
          <w:sz w:val="24"/>
          <w:szCs w:val="24"/>
        </w:rPr>
        <w:t>(12), 1779–1785. https://doi.org/10.1016/j.rmed.2014.09.016</w:t>
      </w:r>
    </w:p>
    <w:p w14:paraId="75D59C5F"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Leung, C. (2020). Risk factors for predicting mortality in elderly patients with COVID-19: A review of clinical data in China. In </w:t>
      </w:r>
      <w:r w:rsidRPr="00703566">
        <w:rPr>
          <w:rFonts w:ascii="Times New Roman" w:hAnsi="Times New Roman" w:cs="Times New Roman"/>
          <w:i/>
          <w:iCs/>
          <w:noProof/>
          <w:sz w:val="24"/>
          <w:szCs w:val="24"/>
        </w:rPr>
        <w:t>Mechanisms of Ageing and Development</w:t>
      </w:r>
      <w:r w:rsidRPr="00703566">
        <w:rPr>
          <w:rFonts w:ascii="Times New Roman" w:hAnsi="Times New Roman" w:cs="Times New Roman"/>
          <w:noProof/>
          <w:sz w:val="24"/>
          <w:szCs w:val="24"/>
        </w:rPr>
        <w:t xml:space="preserve"> (Vol. 188). https://doi.org/10.1016/j.mad.2020.111255</w:t>
      </w:r>
    </w:p>
    <w:p w14:paraId="1EDCDB74"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Li, T., Zhang, Y., Gong, C., Wang, J., Liu, B., Shi, L., &amp; Duan, J. (2020). Prevalence of malnutrition and analysis of related factors in elderly patients with COVID-19 in Wuhan, China. </w:t>
      </w:r>
      <w:r w:rsidRPr="00703566">
        <w:rPr>
          <w:rFonts w:ascii="Times New Roman" w:hAnsi="Times New Roman" w:cs="Times New Roman"/>
          <w:i/>
          <w:iCs/>
          <w:noProof/>
          <w:sz w:val="24"/>
          <w:szCs w:val="24"/>
        </w:rPr>
        <w:t>European Journal of Clinical Nutrition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74</w:t>
      </w:r>
      <w:r w:rsidRPr="00703566">
        <w:rPr>
          <w:rFonts w:ascii="Times New Roman" w:hAnsi="Times New Roman" w:cs="Times New Roman"/>
          <w:noProof/>
          <w:sz w:val="24"/>
          <w:szCs w:val="24"/>
        </w:rPr>
        <w:t>, 871–875. https://doi.org/10.1038/s41430-020-0642-3</w:t>
      </w:r>
    </w:p>
    <w:p w14:paraId="19DBBD32"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Liu, K., Chen, Y., Lin, R., &amp; Han, K. (2020). Clinical features of COVID-19 in elderly patients: A comparison with young and middle-aged patients. In </w:t>
      </w:r>
      <w:r w:rsidRPr="00703566">
        <w:rPr>
          <w:rFonts w:ascii="Times New Roman" w:hAnsi="Times New Roman" w:cs="Times New Roman"/>
          <w:i/>
          <w:iCs/>
          <w:noProof/>
          <w:sz w:val="24"/>
          <w:szCs w:val="24"/>
        </w:rPr>
        <w:t>Journal of Infection</w:t>
      </w:r>
      <w:r w:rsidRPr="00703566">
        <w:rPr>
          <w:rFonts w:ascii="Times New Roman" w:hAnsi="Times New Roman" w:cs="Times New Roman"/>
          <w:noProof/>
          <w:sz w:val="24"/>
          <w:szCs w:val="24"/>
        </w:rPr>
        <w:t xml:space="preserve"> (Vol. 80, Issue 6, pp. e14–e18). W.B. Saunders Ltd. </w:t>
      </w:r>
      <w:r w:rsidRPr="00703566">
        <w:rPr>
          <w:rFonts w:ascii="Times New Roman" w:hAnsi="Times New Roman" w:cs="Times New Roman"/>
          <w:noProof/>
          <w:sz w:val="24"/>
          <w:szCs w:val="24"/>
        </w:rPr>
        <w:lastRenderedPageBreak/>
        <w:t>https://doi.org/10.1016/j.jinf.2020.03.005</w:t>
      </w:r>
    </w:p>
    <w:p w14:paraId="1DF5E8A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Lovell, A., Bulloch, R., Wall, C. R., &amp; Grant, C. C. (2017). Quality of food-frequency questionnaire validation studies in the dietary assessment of children aged 12 to 36 months: A systematic literature review. In </w:t>
      </w:r>
      <w:r w:rsidRPr="00703566">
        <w:rPr>
          <w:rFonts w:ascii="Times New Roman" w:hAnsi="Times New Roman" w:cs="Times New Roman"/>
          <w:i/>
          <w:iCs/>
          <w:noProof/>
          <w:sz w:val="24"/>
          <w:szCs w:val="24"/>
        </w:rPr>
        <w:t>Journal of Nutritional Science</w:t>
      </w:r>
      <w:r w:rsidRPr="00703566">
        <w:rPr>
          <w:rFonts w:ascii="Times New Roman" w:hAnsi="Times New Roman" w:cs="Times New Roman"/>
          <w:noProof/>
          <w:sz w:val="24"/>
          <w:szCs w:val="24"/>
        </w:rPr>
        <w:t xml:space="preserve"> (Vol. 6, pp. 1–12). Cambridge University Press. https://doi.org/10.1017/jns.2017.12</w:t>
      </w:r>
    </w:p>
    <w:p w14:paraId="7DEB1F1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Marengoni, A., Zucchelli, A., Grande, G., Fratiglioni, L., &amp; Rizzuto, D. (2020). The impact of delirium on outcomes for older adults hospitalised with COVID-19. </w:t>
      </w:r>
      <w:r w:rsidRPr="00703566">
        <w:rPr>
          <w:rFonts w:ascii="Times New Roman" w:hAnsi="Times New Roman" w:cs="Times New Roman"/>
          <w:i/>
          <w:iCs/>
          <w:noProof/>
          <w:sz w:val="24"/>
          <w:szCs w:val="24"/>
        </w:rPr>
        <w:t>Age and Ageing</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49</w:t>
      </w:r>
      <w:r w:rsidRPr="00703566">
        <w:rPr>
          <w:rFonts w:ascii="Times New Roman" w:hAnsi="Times New Roman" w:cs="Times New Roman"/>
          <w:noProof/>
          <w:sz w:val="24"/>
          <w:szCs w:val="24"/>
        </w:rPr>
        <w:t>(6). https://doi.org/10.1093/ageing/afaa189</w:t>
      </w:r>
    </w:p>
    <w:p w14:paraId="4013A532"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McElhaney, J. E., &amp; Effros, R. B. (2009). Immunosenescence: what does it mean to health outcomes in older adults? In </w:t>
      </w:r>
      <w:r w:rsidRPr="00703566">
        <w:rPr>
          <w:rFonts w:ascii="Times New Roman" w:hAnsi="Times New Roman" w:cs="Times New Roman"/>
          <w:i/>
          <w:iCs/>
          <w:noProof/>
          <w:sz w:val="24"/>
          <w:szCs w:val="24"/>
        </w:rPr>
        <w:t>Current Opinion in Immunology</w:t>
      </w:r>
      <w:r w:rsidRPr="00703566">
        <w:rPr>
          <w:rFonts w:ascii="Times New Roman" w:hAnsi="Times New Roman" w:cs="Times New Roman"/>
          <w:noProof/>
          <w:sz w:val="24"/>
          <w:szCs w:val="24"/>
        </w:rPr>
        <w:t xml:space="preserve"> (Vol. 21, Issue 4, pp. 418–424). Elsevier Current Trends. https://doi.org/10.1016/j.coi.2009.05.023</w:t>
      </w:r>
    </w:p>
    <w:p w14:paraId="4CB536B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Meyer, F. J., Borst, M. M., Zugck, C., Kirschke, A., Schellberg, D., Kübler, W., &amp; Haass, M. (2001). Respiratory muscle dysfunction in congestive heart failure: Clinical correlation and prognostic significance. </w:t>
      </w:r>
      <w:r w:rsidRPr="00703566">
        <w:rPr>
          <w:rFonts w:ascii="Times New Roman" w:hAnsi="Times New Roman" w:cs="Times New Roman"/>
          <w:i/>
          <w:iCs/>
          <w:noProof/>
          <w:sz w:val="24"/>
          <w:szCs w:val="24"/>
        </w:rPr>
        <w:t>Circulation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103</w:t>
      </w:r>
      <w:r w:rsidRPr="00703566">
        <w:rPr>
          <w:rFonts w:ascii="Times New Roman" w:hAnsi="Times New Roman" w:cs="Times New Roman"/>
          <w:noProof/>
          <w:sz w:val="24"/>
          <w:szCs w:val="24"/>
        </w:rPr>
        <w:t>(17), 2153–2158. https://doi.org/10.1161/01.CIR.103.17.2153</w:t>
      </w:r>
    </w:p>
    <w:p w14:paraId="5F011C9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Mueller, A. L., Mcnamara, M. S., &amp; Sinclair, D. A. (2020). Why does COVID-19 disproportionately affect older people? In </w:t>
      </w:r>
      <w:r w:rsidRPr="00703566">
        <w:rPr>
          <w:rFonts w:ascii="Times New Roman" w:hAnsi="Times New Roman" w:cs="Times New Roman"/>
          <w:i/>
          <w:iCs/>
          <w:noProof/>
          <w:sz w:val="24"/>
          <w:szCs w:val="24"/>
        </w:rPr>
        <w:t>Aging</w:t>
      </w:r>
      <w:r w:rsidRPr="00703566">
        <w:rPr>
          <w:rFonts w:ascii="Times New Roman" w:hAnsi="Times New Roman" w:cs="Times New Roman"/>
          <w:noProof/>
          <w:sz w:val="24"/>
          <w:szCs w:val="24"/>
        </w:rPr>
        <w:t xml:space="preserve"> (Vol. 12, Issue 10, pp. 9959–9981). Impact Journals LLC. https://doi.org/10.18632/aging.103344</w:t>
      </w:r>
    </w:p>
    <w:p w14:paraId="48B2AE56"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Mukhtar, S. (2020). Psychological impact of COVID-19 on older adults. </w:t>
      </w:r>
      <w:r w:rsidRPr="00703566">
        <w:rPr>
          <w:rFonts w:ascii="Times New Roman" w:hAnsi="Times New Roman" w:cs="Times New Roman"/>
          <w:i/>
          <w:iCs/>
          <w:noProof/>
          <w:sz w:val="24"/>
          <w:szCs w:val="24"/>
        </w:rPr>
        <w:t>Current Medicine Research and Practice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10</w:t>
      </w:r>
      <w:r w:rsidRPr="00703566">
        <w:rPr>
          <w:rFonts w:ascii="Times New Roman" w:hAnsi="Times New Roman" w:cs="Times New Roman"/>
          <w:noProof/>
          <w:sz w:val="24"/>
          <w:szCs w:val="24"/>
        </w:rPr>
        <w:t>(4), 201–202. https://doi.org/10.1016/j.cmrp.2020.07.016</w:t>
      </w:r>
    </w:p>
    <w:p w14:paraId="09D6FF26"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Nath, A., &amp; Ingle, G. (2008). Geriatric health in India: Concerns and solutions. </w:t>
      </w:r>
      <w:r w:rsidRPr="00703566">
        <w:rPr>
          <w:rFonts w:ascii="Times New Roman" w:hAnsi="Times New Roman" w:cs="Times New Roman"/>
          <w:i/>
          <w:iCs/>
          <w:noProof/>
          <w:sz w:val="24"/>
          <w:szCs w:val="24"/>
        </w:rPr>
        <w:t>Indian Journal of Community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33</w:t>
      </w:r>
      <w:r w:rsidRPr="00703566">
        <w:rPr>
          <w:rFonts w:ascii="Times New Roman" w:hAnsi="Times New Roman" w:cs="Times New Roman"/>
          <w:noProof/>
          <w:sz w:val="24"/>
          <w:szCs w:val="24"/>
        </w:rPr>
        <w:t>(4), 214. https://doi.org/10.4103/0970-0218.43225</w:t>
      </w:r>
    </w:p>
    <w:p w14:paraId="1807097B"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Ngai, J. C., Ko, F. W., Ng, S. S., To, K. W., Tong, M., &amp; Hui, D. S. (2010). The long-term impact of severe acute respiratory syndrome on pulmonary function, exercise </w:t>
      </w:r>
      <w:r w:rsidRPr="00703566">
        <w:rPr>
          <w:rFonts w:ascii="Times New Roman" w:hAnsi="Times New Roman" w:cs="Times New Roman"/>
          <w:noProof/>
          <w:sz w:val="24"/>
          <w:szCs w:val="24"/>
        </w:rPr>
        <w:lastRenderedPageBreak/>
        <w:t xml:space="preserve">capacity and health status. </w:t>
      </w:r>
      <w:r w:rsidRPr="00703566">
        <w:rPr>
          <w:rFonts w:ascii="Times New Roman" w:hAnsi="Times New Roman" w:cs="Times New Roman"/>
          <w:i/>
          <w:iCs/>
          <w:noProof/>
          <w:sz w:val="24"/>
          <w:szCs w:val="24"/>
        </w:rPr>
        <w:t>Respirology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15</w:t>
      </w:r>
      <w:r w:rsidRPr="00703566">
        <w:rPr>
          <w:rFonts w:ascii="Times New Roman" w:hAnsi="Times New Roman" w:cs="Times New Roman"/>
          <w:noProof/>
          <w:sz w:val="24"/>
          <w:szCs w:val="24"/>
        </w:rPr>
        <w:t>(3), 543–550. https://doi.org/10.1111/j.1440-1843.2010.01720.x</w:t>
      </w:r>
    </w:p>
    <w:p w14:paraId="610381C2"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Nicholson, L. B. (2016). The immune system. </w:t>
      </w:r>
      <w:r w:rsidRPr="00703566">
        <w:rPr>
          <w:rFonts w:ascii="Times New Roman" w:hAnsi="Times New Roman" w:cs="Times New Roman"/>
          <w:i/>
          <w:iCs/>
          <w:noProof/>
          <w:sz w:val="24"/>
          <w:szCs w:val="24"/>
        </w:rPr>
        <w:t>Essays in Biochemistry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60</w:t>
      </w:r>
      <w:r w:rsidRPr="00703566">
        <w:rPr>
          <w:rFonts w:ascii="Times New Roman" w:hAnsi="Times New Roman" w:cs="Times New Roman"/>
          <w:noProof/>
          <w:sz w:val="24"/>
          <w:szCs w:val="24"/>
        </w:rPr>
        <w:t>(3), 275–301. https://doi.org/10.1042/EBC20160017</w:t>
      </w:r>
    </w:p>
    <w:p w14:paraId="5E95D3A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O’Brien, J., Du, K. Y., &amp; Peng, C. (2020). Incidence, clinical features, and outcomes of COVID-19 in Canada: impact of sex and age. </w:t>
      </w:r>
      <w:r w:rsidRPr="00703566">
        <w:rPr>
          <w:rFonts w:ascii="Times New Roman" w:hAnsi="Times New Roman" w:cs="Times New Roman"/>
          <w:i/>
          <w:iCs/>
          <w:noProof/>
          <w:sz w:val="24"/>
          <w:szCs w:val="24"/>
        </w:rPr>
        <w:t>Journal of Ovarian Research</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13</w:t>
      </w:r>
      <w:r w:rsidRPr="00703566">
        <w:rPr>
          <w:rFonts w:ascii="Times New Roman" w:hAnsi="Times New Roman" w:cs="Times New Roman"/>
          <w:noProof/>
          <w:sz w:val="24"/>
          <w:szCs w:val="24"/>
        </w:rPr>
        <w:t>(1). https://doi.org/10.1186/s13048-020-00734-4</w:t>
      </w:r>
    </w:p>
    <w:p w14:paraId="34E5A84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Osadchiy, T., Poliakov, I., Olivier, P., Rowland, M., &amp; Foster, E. (2020). Progressive 24-hour recall: Usability study of short retention intervals in web-based dietary assessment surveys. </w:t>
      </w:r>
      <w:r w:rsidRPr="00703566">
        <w:rPr>
          <w:rFonts w:ascii="Times New Roman" w:hAnsi="Times New Roman" w:cs="Times New Roman"/>
          <w:i/>
          <w:iCs/>
          <w:noProof/>
          <w:sz w:val="24"/>
          <w:szCs w:val="24"/>
        </w:rPr>
        <w:t>Journal of Medical Internet Research</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22</w:t>
      </w:r>
      <w:r w:rsidRPr="00703566">
        <w:rPr>
          <w:rFonts w:ascii="Times New Roman" w:hAnsi="Times New Roman" w:cs="Times New Roman"/>
          <w:noProof/>
          <w:sz w:val="24"/>
          <w:szCs w:val="24"/>
        </w:rPr>
        <w:t>(2), e13266. https://doi.org/10.2196/13266</w:t>
      </w:r>
    </w:p>
    <w:p w14:paraId="69747F61"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Pan, L., Mu, M., Yang, P., Sun, Y., Wang, R., Yan, J., Li, P., Hu, B., Wang, J., Hu, C., Jin, Y., Niu, X., Ping, R., Du, Y., Li, T., Xu, G., Hu, Q., &amp; Tu, L. (2020). Clinical Characteristics of COVID-19 Patients With Digestive Symptoms in Hubei, China: A Descriptive, Cross-Sectional, Multicenter Study. </w:t>
      </w:r>
      <w:r w:rsidRPr="00703566">
        <w:rPr>
          <w:rFonts w:ascii="Times New Roman" w:hAnsi="Times New Roman" w:cs="Times New Roman"/>
          <w:i/>
          <w:iCs/>
          <w:noProof/>
          <w:sz w:val="24"/>
          <w:szCs w:val="24"/>
        </w:rPr>
        <w:t>The American Journal of GASTROENTEROLOGY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115</w:t>
      </w:r>
      <w:r w:rsidRPr="00703566">
        <w:rPr>
          <w:rFonts w:ascii="Times New Roman" w:hAnsi="Times New Roman" w:cs="Times New Roman"/>
          <w:noProof/>
          <w:sz w:val="24"/>
          <w:szCs w:val="24"/>
        </w:rPr>
        <w:t>. https://doi.org/10.14309/ajg.0000000000000620</w:t>
      </w:r>
    </w:p>
    <w:p w14:paraId="3547AE2A"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Parasa, S., Desai, M., Thoguluva Chandrasekar, V., Patel, H. K., Kennedy, K. F., Roesch, T., Spadaccini, M., Colombo, M., Gabbiadini, R., Artifon, E. L. A., Repici, A., &amp; Sharma, P. (2020). Prevalence of Gastrointestinal Symptoms and Fecal Viral Shedding in Patients With Coronavirus Disease 2019: A Systematic Review and Meta-analysis. </w:t>
      </w:r>
      <w:r w:rsidRPr="00703566">
        <w:rPr>
          <w:rFonts w:ascii="Times New Roman" w:hAnsi="Times New Roman" w:cs="Times New Roman"/>
          <w:i/>
          <w:iCs/>
          <w:noProof/>
          <w:sz w:val="24"/>
          <w:szCs w:val="24"/>
        </w:rPr>
        <w:t>JAMA Network Open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w:t>
      </w:r>
      <w:r w:rsidRPr="00703566">
        <w:rPr>
          <w:rFonts w:ascii="Times New Roman" w:hAnsi="Times New Roman" w:cs="Times New Roman"/>
          <w:noProof/>
          <w:sz w:val="24"/>
          <w:szCs w:val="24"/>
        </w:rPr>
        <w:t>(6), e2011335. https://doi.org/10.1001/jamanetworkopen.2020.11335</w:t>
      </w:r>
    </w:p>
    <w:p w14:paraId="19F159C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Pascarella, G., Strumia, A., Piliego, C., Bruno, F., Del Buono, R., Costa, F., Scarlata, S., Felice, &amp;, &amp; Agr, E. (2020) </w:t>
      </w:r>
      <w:r w:rsidRPr="00703566">
        <w:rPr>
          <w:rFonts w:ascii="Times New Roman" w:hAnsi="Times New Roman" w:cs="Times New Roman"/>
          <w:i/>
          <w:iCs/>
          <w:noProof/>
          <w:sz w:val="24"/>
          <w:szCs w:val="24"/>
        </w:rPr>
        <w:t>COVID-19 diagnosis and management: a comprehensive review</w:t>
      </w:r>
      <w:r w:rsidRPr="00703566">
        <w:rPr>
          <w:rFonts w:ascii="Times New Roman" w:hAnsi="Times New Roman" w:cs="Times New Roman"/>
          <w:noProof/>
          <w:sz w:val="24"/>
          <w:szCs w:val="24"/>
        </w:rPr>
        <w:t>. https://doi.org/10.1111/joim.13091</w:t>
      </w:r>
      <w:r w:rsidRPr="00703566">
        <w:rPr>
          <w:rFonts w:ascii="Times New Roman" w:hAnsi="Times New Roman" w:cs="Times New Roman"/>
          <w:noProof/>
          <w:sz w:val="24"/>
          <w:szCs w:val="24"/>
        </w:rPr>
        <w:fldChar w:fldCharType="begin" w:fldLock="1"/>
      </w:r>
      <w:r w:rsidRPr="00703566">
        <w:rPr>
          <w:rFonts w:ascii="Times New Roman" w:hAnsi="Times New Roman" w:cs="Times New Roman"/>
          <w:noProof/>
          <w:sz w:val="24"/>
          <w:szCs w:val="24"/>
        </w:rPr>
        <w:instrText xml:space="preserve">ADDIN Mendeley Bibliography CSL_BIBLIOGRAPHY </w:instrText>
      </w:r>
      <w:r w:rsidRPr="00703566">
        <w:rPr>
          <w:rFonts w:ascii="Times New Roman" w:hAnsi="Times New Roman" w:cs="Times New Roman"/>
          <w:noProof/>
          <w:sz w:val="24"/>
          <w:szCs w:val="24"/>
        </w:rPr>
        <w:fldChar w:fldCharType="separate"/>
      </w:r>
    </w:p>
    <w:p w14:paraId="5B0CE215"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lastRenderedPageBreak/>
        <w:t xml:space="preserve">Pathan, S. B. and P. (2016). </w:t>
      </w:r>
      <w:r w:rsidRPr="00703566">
        <w:rPr>
          <w:rFonts w:ascii="Times New Roman" w:hAnsi="Times New Roman" w:cs="Times New Roman"/>
          <w:i/>
          <w:iCs/>
          <w:noProof/>
          <w:sz w:val="24"/>
          <w:szCs w:val="24"/>
        </w:rPr>
        <w:t>Aging and the Socioeconomic Life of Older Adults in India: An Empirical Exposition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34</w:t>
      </w:r>
      <w:r w:rsidRPr="00703566">
        <w:rPr>
          <w:rFonts w:ascii="Times New Roman" w:hAnsi="Times New Roman" w:cs="Times New Roman"/>
          <w:noProof/>
          <w:sz w:val="24"/>
          <w:szCs w:val="24"/>
        </w:rPr>
        <w:t>, 1–17. https://doi.org/10.1177/2158244015624130</w:t>
      </w:r>
    </w:p>
    <w:p w14:paraId="184A1679" w14:textId="77777777" w:rsidR="00703566" w:rsidRPr="00703566" w:rsidRDefault="00703566" w:rsidP="00703566">
      <w:pPr>
        <w:widowControl w:val="0"/>
        <w:autoSpaceDE w:val="0"/>
        <w:autoSpaceDN w:val="0"/>
        <w:adjustRightInd w:val="0"/>
        <w:spacing w:line="480" w:lineRule="auto"/>
        <w:jc w:val="both"/>
        <w:rPr>
          <w:rFonts w:ascii="Times New Roman" w:hAnsi="Times New Roman" w:cs="Times New Roman"/>
          <w:noProof/>
          <w:sz w:val="24"/>
          <w:szCs w:val="24"/>
        </w:rPr>
      </w:pPr>
      <w:r w:rsidRPr="00703566">
        <w:rPr>
          <w:rFonts w:ascii="Times New Roman" w:hAnsi="Times New Roman" w:cs="Times New Roman"/>
          <w:noProof/>
          <w:sz w:val="24"/>
          <w:szCs w:val="24"/>
        </w:rPr>
        <w:fldChar w:fldCharType="end"/>
      </w:r>
    </w:p>
    <w:p w14:paraId="6D4CE770"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Peng, Y. D., Meng, K., Guan, H. Q., Leng, L., Zhu, R. R., Wang, B. Y., He, M. A., Cheng, L. X., Huang, K., &amp; Zeng, Q. T. (2020). Clinical characteristics and outcomes of 112 cardiovascular disease patients infected by 2019-nCoV. </w:t>
      </w:r>
      <w:r w:rsidRPr="00703566">
        <w:rPr>
          <w:rFonts w:ascii="Times New Roman" w:hAnsi="Times New Roman" w:cs="Times New Roman"/>
          <w:i/>
          <w:iCs/>
          <w:noProof/>
          <w:sz w:val="24"/>
          <w:szCs w:val="24"/>
        </w:rPr>
        <w:t>Zhonghua Xin Xue Guan Bing Za Zhi</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48</w:t>
      </w:r>
      <w:r w:rsidRPr="00703566">
        <w:rPr>
          <w:rFonts w:ascii="Times New Roman" w:hAnsi="Times New Roman" w:cs="Times New Roman"/>
          <w:noProof/>
          <w:sz w:val="24"/>
          <w:szCs w:val="24"/>
        </w:rPr>
        <w:t>(6), 450–455. https://doi.org/10.3760/cma.j.cn112148-20200220-00105</w:t>
      </w:r>
    </w:p>
    <w:p w14:paraId="3A57987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Perlman, S. (2020). Another Decade, Another Coronavirus. </w:t>
      </w:r>
      <w:r w:rsidRPr="00703566">
        <w:rPr>
          <w:rFonts w:ascii="Times New Roman" w:hAnsi="Times New Roman" w:cs="Times New Roman"/>
          <w:i/>
          <w:iCs/>
          <w:noProof/>
          <w:sz w:val="24"/>
          <w:szCs w:val="24"/>
        </w:rPr>
        <w:t>New England Journal of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382</w:t>
      </w:r>
      <w:r w:rsidRPr="00703566">
        <w:rPr>
          <w:rFonts w:ascii="Times New Roman" w:hAnsi="Times New Roman" w:cs="Times New Roman"/>
          <w:noProof/>
          <w:sz w:val="24"/>
          <w:szCs w:val="24"/>
        </w:rPr>
        <w:t>(8), 760–762. https://doi.org/10.1056/nejme2001126</w:t>
      </w:r>
    </w:p>
    <w:p w14:paraId="4D80F2E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Perrotta, F., Corbi, G., Mazzeo, G., Boccia, M., Aronne, · Luigi, D’agnano, V., Komici, K., Mazzarella, G., Parrella, R., &amp; Bianco, A. (2020). </w:t>
      </w:r>
      <w:r w:rsidRPr="00703566">
        <w:rPr>
          <w:rFonts w:ascii="Times New Roman" w:hAnsi="Times New Roman" w:cs="Times New Roman"/>
          <w:i/>
          <w:iCs/>
          <w:noProof/>
          <w:sz w:val="24"/>
          <w:szCs w:val="24"/>
        </w:rPr>
        <w:t>COVID-19 and the elderly: insights into pathogenesis and clinical decision-making</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32</w:t>
      </w:r>
      <w:r w:rsidRPr="00703566">
        <w:rPr>
          <w:rFonts w:ascii="Times New Roman" w:hAnsi="Times New Roman" w:cs="Times New Roman"/>
          <w:noProof/>
          <w:sz w:val="24"/>
          <w:szCs w:val="24"/>
        </w:rPr>
        <w:t>, 1599–1608. https://doi.org/10.1007/s40520-020-01631-y</w:t>
      </w:r>
    </w:p>
    <w:p w14:paraId="66F39AC6"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Pilgrim, A. L., Robinson, S. M., Sayer, A. A., &amp; Roberts, H. C. (2015). An overview of appetite decline in older people. </w:t>
      </w:r>
      <w:r w:rsidRPr="00703566">
        <w:rPr>
          <w:rFonts w:ascii="Times New Roman" w:hAnsi="Times New Roman" w:cs="Times New Roman"/>
          <w:i/>
          <w:iCs/>
          <w:noProof/>
          <w:sz w:val="24"/>
          <w:szCs w:val="24"/>
        </w:rPr>
        <w:t>Nursing Older People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27</w:t>
      </w:r>
      <w:r w:rsidRPr="00703566">
        <w:rPr>
          <w:rFonts w:ascii="Times New Roman" w:hAnsi="Times New Roman" w:cs="Times New Roman"/>
          <w:noProof/>
          <w:sz w:val="24"/>
          <w:szCs w:val="24"/>
        </w:rPr>
        <w:t>(5), 29–35. https://doi.org/10.7748/nop.27.5.29.e697</w:t>
      </w:r>
    </w:p>
    <w:p w14:paraId="2A859EBC"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Portacolone, E., Chodos, A., Halpern, J., Covinsky, K. E., Keiser, S., Fung, J., Rivera, E., Tran, T., Bykhovsky, C., Johnson, J. K., &amp; Bowers, B. J. (2021). The Effects of the COVID-19 Pandemic on the Lived Experience of Diverse Older Adults Living Alone With Cognitive Impairment. </w:t>
      </w:r>
      <w:r w:rsidRPr="00703566">
        <w:rPr>
          <w:rFonts w:ascii="Times New Roman" w:hAnsi="Times New Roman" w:cs="Times New Roman"/>
          <w:i/>
          <w:iCs/>
          <w:noProof/>
          <w:sz w:val="24"/>
          <w:szCs w:val="24"/>
        </w:rPr>
        <w:t>The Gerontologist Cite as: Gerontologist</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61</w:t>
      </w:r>
      <w:r w:rsidRPr="00703566">
        <w:rPr>
          <w:rFonts w:ascii="Times New Roman" w:hAnsi="Times New Roman" w:cs="Times New Roman"/>
          <w:noProof/>
          <w:sz w:val="24"/>
          <w:szCs w:val="24"/>
        </w:rPr>
        <w:t>(2), 251–261. https://doi.org/10.1093/geront/gnaa201</w:t>
      </w:r>
    </w:p>
    <w:p w14:paraId="63274EFD"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Prasad, N., Gopalakrishnan, N., Sahay, M., Gupta, A., &amp; Agarwal, S. (2020). Epidemiology, genomicBalasundaram, P., Libu, G., George, C., &amp; Chandy, A. (2020). Study on the effect of COVID-19 lockdown on health care and psychosocial aspects of </w:t>
      </w:r>
      <w:r w:rsidRPr="00703566">
        <w:rPr>
          <w:rFonts w:ascii="Times New Roman" w:hAnsi="Times New Roman" w:cs="Times New Roman"/>
          <w:noProof/>
          <w:sz w:val="24"/>
          <w:szCs w:val="24"/>
        </w:rPr>
        <w:lastRenderedPageBreak/>
        <w:t xml:space="preserve">elderly in Kerala State. Journal of the Indian Academy of Geriatrics, 16(3), 101. https:/. In </w:t>
      </w:r>
      <w:r w:rsidRPr="00703566">
        <w:rPr>
          <w:rFonts w:ascii="Times New Roman" w:hAnsi="Times New Roman" w:cs="Times New Roman"/>
          <w:i/>
          <w:iCs/>
          <w:noProof/>
          <w:sz w:val="24"/>
          <w:szCs w:val="24"/>
        </w:rPr>
        <w:t>Indian Journal of Nephrology</w:t>
      </w:r>
      <w:r w:rsidRPr="00703566">
        <w:rPr>
          <w:rFonts w:ascii="Times New Roman" w:hAnsi="Times New Roman" w:cs="Times New Roman"/>
          <w:noProof/>
          <w:sz w:val="24"/>
          <w:szCs w:val="24"/>
        </w:rPr>
        <w:t xml:space="preserve"> (Vol. 30, Issue 3, pp. 143–154). Wolters Kluwer Medknow Publications. https://doi.org/10.4103/ijn.IJN_191_20</w:t>
      </w:r>
    </w:p>
    <w:p w14:paraId="760E1EB1"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Rothan, H. A., &amp; Byrareddy, S. N. (2020). The epidemiology and pathogenesis of coronavirus disease (COVID-19) outbreak. In </w:t>
      </w:r>
      <w:r w:rsidRPr="00703566">
        <w:rPr>
          <w:rFonts w:ascii="Times New Roman" w:hAnsi="Times New Roman" w:cs="Times New Roman"/>
          <w:i/>
          <w:iCs/>
          <w:noProof/>
          <w:sz w:val="24"/>
          <w:szCs w:val="24"/>
        </w:rPr>
        <w:t>Journal of Autoimmunity</w:t>
      </w:r>
      <w:r w:rsidRPr="00703566">
        <w:rPr>
          <w:rFonts w:ascii="Times New Roman" w:hAnsi="Times New Roman" w:cs="Times New Roman"/>
          <w:noProof/>
          <w:sz w:val="24"/>
          <w:szCs w:val="24"/>
        </w:rPr>
        <w:t xml:space="preserve"> (Vol. 109, pp 1-5). Elsevier. https://doi.org/10.1016/j.jaut.2020.102433</w:t>
      </w:r>
    </w:p>
    <w:p w14:paraId="16BC63E4"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Russo, A., Onder, G., Cesari, M., Zamboni, V., Barillaro, C., Capoluongo, E., Pahor, M., Bernabei, R., &amp; Landi, F. (2006). Lifetime occupation and physical function: a prospective cohort study on persons aged 80 years and older living in a community. </w:t>
      </w:r>
      <w:r w:rsidRPr="00703566">
        <w:rPr>
          <w:rFonts w:ascii="Times New Roman" w:hAnsi="Times New Roman" w:cs="Times New Roman"/>
          <w:i/>
          <w:iCs/>
          <w:noProof/>
          <w:sz w:val="24"/>
          <w:szCs w:val="24"/>
        </w:rPr>
        <w:t>Occup Environ Med</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63</w:t>
      </w:r>
      <w:r w:rsidRPr="00703566">
        <w:rPr>
          <w:rFonts w:ascii="Times New Roman" w:hAnsi="Times New Roman" w:cs="Times New Roman"/>
          <w:noProof/>
          <w:sz w:val="24"/>
          <w:szCs w:val="24"/>
        </w:rPr>
        <w:t>, 438–442. https://doi.org/10.1136/oem.2005.023549</w:t>
      </w:r>
    </w:p>
    <w:p w14:paraId="5450D16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Salim, S. S., Kripa, V., Zachariah, P. U., Mohan, A., Ambrose, T. V, &amp; Rani, M. (2014). </w:t>
      </w:r>
      <w:r w:rsidRPr="00703566">
        <w:rPr>
          <w:rFonts w:ascii="Times New Roman" w:hAnsi="Times New Roman" w:cs="Times New Roman"/>
          <w:i/>
          <w:iCs/>
          <w:noProof/>
          <w:sz w:val="24"/>
          <w:szCs w:val="24"/>
        </w:rPr>
        <w:t>Vulnerability assessment of coastal fisher households in Kerala: A climate change perspective</w:t>
      </w:r>
      <w:r w:rsidRPr="00703566">
        <w:rPr>
          <w:rFonts w:ascii="Times New Roman" w:hAnsi="Times New Roman" w:cs="Times New Roman"/>
          <w:noProof/>
          <w:sz w:val="24"/>
          <w:szCs w:val="24"/>
        </w:rPr>
        <w:t xml:space="preserve"> (Vol. 61, Issue 4).</w:t>
      </w:r>
    </w:p>
    <w:p w14:paraId="3B7E69BC"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Savage, M., Dooley, L., Waldron, T., Brady, S., &amp; Mellett, H. (2020). Malnutrition risk post COVID-19 infection on a care of the elderly rehab ward. </w:t>
      </w:r>
      <w:r w:rsidRPr="00703566">
        <w:rPr>
          <w:rFonts w:ascii="Times New Roman" w:hAnsi="Times New Roman" w:cs="Times New Roman"/>
          <w:i/>
          <w:iCs/>
          <w:noProof/>
          <w:sz w:val="24"/>
          <w:szCs w:val="24"/>
        </w:rPr>
        <w:t>Clinical Nutrition ESPEN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40</w:t>
      </w:r>
      <w:r w:rsidRPr="00703566">
        <w:rPr>
          <w:rFonts w:ascii="Times New Roman" w:hAnsi="Times New Roman" w:cs="Times New Roman"/>
          <w:noProof/>
          <w:sz w:val="24"/>
          <w:szCs w:val="24"/>
        </w:rPr>
        <w:t>, 610–611. https://doi.org/10.1016/j.clnesp.2020.09.613</w:t>
      </w:r>
    </w:p>
    <w:p w14:paraId="7BAB1ACC"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Schouten, L. R. A., Helmerhorst, H. J. F., Wagenaar, G. T. M., Haltenhof, T., Lutter, R., Roelofs, J. J. T. H., Van Woensel, J. B. M., Van Kaam, A. H. L. C., Bos, A. P., Schultz, M. J., Walther, T., &amp; Wösten-Van Asperen, R. M. (2016). Age-Dependent Changes in the Pulmonary Renin-Angiotensin System Are Associated with Severity of Lung Injury in a Model of Acute Lung Injury in Rats. </w:t>
      </w:r>
      <w:r w:rsidRPr="00703566">
        <w:rPr>
          <w:rFonts w:ascii="Times New Roman" w:hAnsi="Times New Roman" w:cs="Times New Roman"/>
          <w:i/>
          <w:iCs/>
          <w:noProof/>
          <w:sz w:val="24"/>
          <w:szCs w:val="24"/>
        </w:rPr>
        <w:t>Critical Care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44</w:t>
      </w:r>
      <w:r w:rsidRPr="00703566">
        <w:rPr>
          <w:rFonts w:ascii="Times New Roman" w:hAnsi="Times New Roman" w:cs="Times New Roman"/>
          <w:noProof/>
          <w:sz w:val="24"/>
          <w:szCs w:val="24"/>
        </w:rPr>
        <w:t>(12), e1226–e1235. https://doi.org/10.1097/CCM.0000000000002008</w:t>
      </w:r>
    </w:p>
    <w:p w14:paraId="6E300B94"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Şimşek Yavuz, S., &amp; Ünal, S. (2020). Antiviral treatment of covid-19. In </w:t>
      </w:r>
      <w:r w:rsidRPr="00703566">
        <w:rPr>
          <w:rFonts w:ascii="Times New Roman" w:hAnsi="Times New Roman" w:cs="Times New Roman"/>
          <w:i/>
          <w:iCs/>
          <w:noProof/>
          <w:sz w:val="24"/>
          <w:szCs w:val="24"/>
        </w:rPr>
        <w:t>Turkish Journal of Medical Sciences</w:t>
      </w:r>
      <w:r w:rsidRPr="00703566">
        <w:rPr>
          <w:rFonts w:ascii="Times New Roman" w:hAnsi="Times New Roman" w:cs="Times New Roman"/>
          <w:noProof/>
          <w:sz w:val="24"/>
          <w:szCs w:val="24"/>
        </w:rPr>
        <w:t xml:space="preserve"> (Vol. 50, Issue SI-1). https://doi.org/10.3906/sag-2004-145</w:t>
      </w:r>
    </w:p>
    <w:p w14:paraId="44391631"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lastRenderedPageBreak/>
        <w:t xml:space="preserve">Soini, H., Routasalo, P., &amp; Lagström, H. (2004). Characteristics of the Mini-Nutritional Assessment in elderly home-care patients. </w:t>
      </w:r>
      <w:r w:rsidRPr="00703566">
        <w:rPr>
          <w:rFonts w:ascii="Times New Roman" w:hAnsi="Times New Roman" w:cs="Times New Roman"/>
          <w:i/>
          <w:iCs/>
          <w:noProof/>
          <w:sz w:val="24"/>
          <w:szCs w:val="24"/>
        </w:rPr>
        <w:t>European Journal of Clinical Nutrition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58</w:t>
      </w:r>
      <w:r w:rsidRPr="00703566">
        <w:rPr>
          <w:rFonts w:ascii="Times New Roman" w:hAnsi="Times New Roman" w:cs="Times New Roman"/>
          <w:noProof/>
          <w:sz w:val="24"/>
          <w:szCs w:val="24"/>
        </w:rPr>
        <w:t>, 64–70. https://doi.org/10.1038/sj.ejcn.1601748</w:t>
      </w:r>
    </w:p>
    <w:p w14:paraId="5D151F2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Sokolowska, M., Lukasik, Z. M., Agache, I., Akdis, C. A., Akdis, D., Akdis, M., Barcik, W., Brough, H. A., Eiwegger, T., Eljaszewicz, A., Eyerich, S., Feleszko, W., Gomez-Casado, C., Hoffmann-Sommergruber, K., Janda, J., Jiménez-Saiz, R., Jutel, M., Knol, E. F., Kortekaas Krohn, I., … Untersmayr, E. (2020). Immunology of COVID-19: Mechanisms, clinical outcome, diagnostics, and perspectives—A report of the European Academy of Allergy and Clinical Immunology (EAACI). </w:t>
      </w:r>
      <w:r w:rsidRPr="00703566">
        <w:rPr>
          <w:rFonts w:ascii="Times New Roman" w:hAnsi="Times New Roman" w:cs="Times New Roman"/>
          <w:i/>
          <w:iCs/>
          <w:noProof/>
          <w:sz w:val="24"/>
          <w:szCs w:val="24"/>
        </w:rPr>
        <w:t>Allergy: European Journal of Allergy and Clinical Immunology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75</w:t>
      </w:r>
      <w:r w:rsidRPr="00703566">
        <w:rPr>
          <w:rFonts w:ascii="Times New Roman" w:hAnsi="Times New Roman" w:cs="Times New Roman"/>
          <w:noProof/>
          <w:sz w:val="24"/>
          <w:szCs w:val="24"/>
        </w:rPr>
        <w:t>(10), 2445–2476. https://doi.org/10.1111/all.14462</w:t>
      </w:r>
    </w:p>
    <w:p w14:paraId="0E5914B4"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Torres-Castro, R., Vasconcello-Castillo, L., Alsina-Restoy, X., Solis-Navarro, L., Burgos, F.,   Puppo, H., &amp; Vilaró, J. (2020). Respiratory function in patients post-infection by COVID-19: a systematic review and meta-analysis. In </w:t>
      </w:r>
      <w:r w:rsidRPr="00703566">
        <w:rPr>
          <w:rFonts w:ascii="Times New Roman" w:hAnsi="Times New Roman" w:cs="Times New Roman"/>
          <w:i/>
          <w:iCs/>
          <w:noProof/>
          <w:sz w:val="24"/>
          <w:szCs w:val="24"/>
        </w:rPr>
        <w:t>Pulmonology</w:t>
      </w:r>
      <w:r w:rsidRPr="00703566">
        <w:rPr>
          <w:rFonts w:ascii="Times New Roman" w:hAnsi="Times New Roman" w:cs="Times New Roman"/>
          <w:noProof/>
          <w:sz w:val="24"/>
          <w:szCs w:val="24"/>
        </w:rPr>
        <w:t>. https://doi.org/10.1016/j.pulmoe.2020.10.013</w:t>
      </w:r>
    </w:p>
    <w:p w14:paraId="0A7C08B2"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Travers, P. J. (2016). The immune system. </w:t>
      </w:r>
      <w:r w:rsidRPr="00703566">
        <w:rPr>
          <w:rFonts w:ascii="Times New Roman" w:hAnsi="Times New Roman" w:cs="Times New Roman"/>
          <w:i/>
          <w:iCs/>
          <w:noProof/>
          <w:sz w:val="24"/>
          <w:szCs w:val="24"/>
        </w:rPr>
        <w:t>Medicina</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37</w:t>
      </w:r>
      <w:r w:rsidRPr="00703566">
        <w:rPr>
          <w:rFonts w:ascii="Times New Roman" w:hAnsi="Times New Roman" w:cs="Times New Roman"/>
          <w:noProof/>
          <w:sz w:val="24"/>
          <w:szCs w:val="24"/>
        </w:rPr>
        <w:t>(1–2), 3. https://www.ncbi.nlm.nih.gov/pmc/articles/PMC5091071/</w:t>
      </w:r>
    </w:p>
    <w:p w14:paraId="53665D32"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Utkualp, N., &amp; Ercan, I. (2015). Anthropometric measurements usage in medical sciences. In </w:t>
      </w:r>
      <w:r w:rsidRPr="00703566">
        <w:rPr>
          <w:rFonts w:ascii="Times New Roman" w:hAnsi="Times New Roman" w:cs="Times New Roman"/>
          <w:i/>
          <w:iCs/>
          <w:noProof/>
          <w:sz w:val="24"/>
          <w:szCs w:val="24"/>
        </w:rPr>
        <w:t>BioMed Research International</w:t>
      </w:r>
      <w:r w:rsidRPr="00703566">
        <w:rPr>
          <w:rFonts w:ascii="Times New Roman" w:hAnsi="Times New Roman" w:cs="Times New Roman"/>
          <w:noProof/>
          <w:sz w:val="24"/>
          <w:szCs w:val="24"/>
        </w:rPr>
        <w:t xml:space="preserve"> (Vol. 2015). Hindawi Publishing Corporation. https://doi.org/10.1155/2015/404261</w:t>
      </w:r>
    </w:p>
    <w:p w14:paraId="19121A69"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Villapol, S. (2020). Gastrointestinal symptoms associated with COVID-19: impact on the gut microbiome. In </w:t>
      </w:r>
      <w:r w:rsidRPr="00703566">
        <w:rPr>
          <w:rFonts w:ascii="Times New Roman" w:hAnsi="Times New Roman" w:cs="Times New Roman"/>
          <w:i/>
          <w:iCs/>
          <w:noProof/>
          <w:sz w:val="24"/>
          <w:szCs w:val="24"/>
        </w:rPr>
        <w:t>Translational Research</w:t>
      </w:r>
      <w:r w:rsidRPr="00703566">
        <w:rPr>
          <w:rFonts w:ascii="Times New Roman" w:hAnsi="Times New Roman" w:cs="Times New Roman"/>
          <w:noProof/>
          <w:sz w:val="24"/>
          <w:szCs w:val="24"/>
        </w:rPr>
        <w:t xml:space="preserve"> (Vol. 226, pp. 57–69). Mosby Inc. https://doi.org/10.1016/j.trsl.2020.08.004</w:t>
      </w:r>
    </w:p>
    <w:p w14:paraId="668C006A"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Voinsky, I., Baristaite, G., &amp; Gurwitz, D. (2020). Effects of age and sex on recovery from COVID-19: Analysis of 5769 Israeli patients. In </w:t>
      </w:r>
      <w:r w:rsidRPr="00703566">
        <w:rPr>
          <w:rFonts w:ascii="Times New Roman" w:hAnsi="Times New Roman" w:cs="Times New Roman"/>
          <w:i/>
          <w:iCs/>
          <w:noProof/>
          <w:sz w:val="24"/>
          <w:szCs w:val="24"/>
        </w:rPr>
        <w:t>Journal of Infection</w:t>
      </w:r>
      <w:r w:rsidRPr="00703566">
        <w:rPr>
          <w:rFonts w:ascii="Times New Roman" w:hAnsi="Times New Roman" w:cs="Times New Roman"/>
          <w:noProof/>
          <w:sz w:val="24"/>
          <w:szCs w:val="24"/>
        </w:rPr>
        <w:t xml:space="preserve"> (Vol. 81, </w:t>
      </w:r>
      <w:r w:rsidRPr="00703566">
        <w:rPr>
          <w:rFonts w:ascii="Times New Roman" w:hAnsi="Times New Roman" w:cs="Times New Roman"/>
          <w:noProof/>
          <w:sz w:val="24"/>
          <w:szCs w:val="24"/>
        </w:rPr>
        <w:lastRenderedPageBreak/>
        <w:t>Issue 2, pp. e102–e103). W.B. Saunders Ltd. https://doi.org/10.1016/j.jinf.2020.05.026</w:t>
      </w:r>
    </w:p>
    <w:p w14:paraId="23F8CD4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Wang, T., Du, Z., Zhu, F., Cao, Z., An, Y., Gao, Y., &amp; Jiang, B. (2020). Comorbidities and multi-organ injuries in the treatment of COVID-19. In </w:t>
      </w:r>
      <w:r w:rsidRPr="00703566">
        <w:rPr>
          <w:rFonts w:ascii="Times New Roman" w:hAnsi="Times New Roman" w:cs="Times New Roman"/>
          <w:i/>
          <w:iCs/>
          <w:noProof/>
          <w:sz w:val="24"/>
          <w:szCs w:val="24"/>
        </w:rPr>
        <w:t>The Lancet</w:t>
      </w:r>
      <w:r w:rsidRPr="00703566">
        <w:rPr>
          <w:rFonts w:ascii="Times New Roman" w:hAnsi="Times New Roman" w:cs="Times New Roman"/>
          <w:noProof/>
          <w:sz w:val="24"/>
          <w:szCs w:val="24"/>
        </w:rPr>
        <w:t xml:space="preserve"> (Vol. 395, Issue 10228, p. e52). Lancet Publishing Group. https://doi.org/10.1016/S0140-6736(20)30558-4</w:t>
      </w:r>
    </w:p>
    <w:p w14:paraId="1AE816C7"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WHO. (2019). </w:t>
      </w:r>
      <w:r w:rsidRPr="00703566">
        <w:rPr>
          <w:rFonts w:ascii="Times New Roman" w:hAnsi="Times New Roman" w:cs="Times New Roman"/>
          <w:i/>
          <w:iCs/>
          <w:noProof/>
          <w:sz w:val="24"/>
          <w:szCs w:val="24"/>
        </w:rPr>
        <w:t>Coronavirus disease (COVID-19)</w:t>
      </w:r>
      <w:r w:rsidRPr="00703566">
        <w:rPr>
          <w:rFonts w:ascii="Times New Roman" w:hAnsi="Times New Roman" w:cs="Times New Roman"/>
          <w:noProof/>
          <w:sz w:val="24"/>
          <w:szCs w:val="24"/>
        </w:rPr>
        <w:t>. WHO. https://www.who.int/emergencies/diseases/novel-coronavirus-2019?gclid=Cj0KCQiApsiBBhCKARIsAN8o_4i9ieArmWtp6bnn1GDWVEx8KlwHEn4Tmo0StOXq8vueSjPybFhslykaAkZ9EALw_wcB</w:t>
      </w:r>
    </w:p>
    <w:p w14:paraId="54BE9F0B"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WHO. (2020). </w:t>
      </w:r>
      <w:r w:rsidRPr="00703566">
        <w:rPr>
          <w:rFonts w:ascii="Times New Roman" w:hAnsi="Times New Roman" w:cs="Times New Roman"/>
          <w:i/>
          <w:iCs/>
          <w:noProof/>
          <w:sz w:val="24"/>
          <w:szCs w:val="24"/>
        </w:rPr>
        <w:t>THE LATEST ON THE COVID-19 GLOBAL SITUATION &amp; LONG-TERM SEQUELAE Long-term effects of COVID-19</w:t>
      </w:r>
      <w:r w:rsidRPr="00703566">
        <w:rPr>
          <w:rFonts w:ascii="Times New Roman" w:hAnsi="Times New Roman" w:cs="Times New Roman"/>
          <w:noProof/>
          <w:sz w:val="24"/>
          <w:szCs w:val="24"/>
        </w:rPr>
        <w:t>.</w:t>
      </w:r>
    </w:p>
    <w:p w14:paraId="2FE83F2A"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Xiong, Q., Xu, M., Li, J., Liu, Y., Zhang, J., Xu, Y., &amp; Dong, W. (2021). Clinical sequelae of COVID-19 survivors in Wuhan, China: a single-centre longitudinal study. </w:t>
      </w:r>
      <w:r w:rsidRPr="00703566">
        <w:rPr>
          <w:rFonts w:ascii="Times New Roman" w:hAnsi="Times New Roman" w:cs="Times New Roman"/>
          <w:i/>
          <w:iCs/>
          <w:noProof/>
          <w:sz w:val="24"/>
          <w:szCs w:val="24"/>
        </w:rPr>
        <w:t>Clinical Microbiology and Infection</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27</w:t>
      </w:r>
      <w:r w:rsidRPr="00703566">
        <w:rPr>
          <w:rFonts w:ascii="Times New Roman" w:hAnsi="Times New Roman" w:cs="Times New Roman"/>
          <w:noProof/>
          <w:sz w:val="24"/>
          <w:szCs w:val="24"/>
        </w:rPr>
        <w:t>(1), 89–95. https://doi.org/10.1016/j.cmi.2020.09.023</w:t>
      </w:r>
    </w:p>
    <w:p w14:paraId="7BCC03BF"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Yan, X., Wang, S., Ma, P., Yang, B., Si, D., Liu, G., Liu, L., Ding, M., Yang, W., Li, J., Sun, H., Yang, P., &amp; Huan Sun, C. (2021). Cardiac injury is associated with inflammation in geriatric COVID-19 patients. </w:t>
      </w:r>
      <w:r w:rsidRPr="00703566">
        <w:rPr>
          <w:rFonts w:ascii="Times New Roman" w:hAnsi="Times New Roman" w:cs="Times New Roman"/>
          <w:i/>
          <w:iCs/>
          <w:noProof/>
          <w:sz w:val="24"/>
          <w:szCs w:val="24"/>
        </w:rPr>
        <w:t>J Clin Lab Anal</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35</w:t>
      </w:r>
      <w:r w:rsidRPr="00703566">
        <w:rPr>
          <w:rFonts w:ascii="Times New Roman" w:hAnsi="Times New Roman" w:cs="Times New Roman"/>
          <w:noProof/>
          <w:sz w:val="24"/>
          <w:szCs w:val="24"/>
        </w:rPr>
        <w:t>. https://doi.org/10.1002/jcla.23654</w:t>
      </w:r>
    </w:p>
    <w:p w14:paraId="5CB8C041"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Zaremba, L. S., &amp; Smoleński, W. H. (2000). Optimal portfolio choice under a liability constraint. </w:t>
      </w:r>
      <w:r w:rsidRPr="00703566">
        <w:rPr>
          <w:rFonts w:ascii="Times New Roman" w:hAnsi="Times New Roman" w:cs="Times New Roman"/>
          <w:i/>
          <w:iCs/>
          <w:noProof/>
          <w:sz w:val="24"/>
          <w:szCs w:val="24"/>
        </w:rPr>
        <w:t>Annals of Operations Research</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97</w:t>
      </w:r>
      <w:r w:rsidRPr="00703566">
        <w:rPr>
          <w:rFonts w:ascii="Times New Roman" w:hAnsi="Times New Roman" w:cs="Times New Roman"/>
          <w:noProof/>
          <w:sz w:val="24"/>
          <w:szCs w:val="24"/>
        </w:rPr>
        <w:t>(1–4), 131–141. https://doi.org/10.1023/A</w:t>
      </w:r>
    </w:p>
    <w:p w14:paraId="36B45FD8"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t xml:space="preserve">Zhai, P., Ding, Y., Wu, X., Long, J., Zhong, Y., &amp; Li, Y. (2020). The epidemiology, diagnosis and treatment of COVID-19. </w:t>
      </w:r>
      <w:r w:rsidRPr="00703566">
        <w:rPr>
          <w:rFonts w:ascii="Times New Roman" w:hAnsi="Times New Roman" w:cs="Times New Roman"/>
          <w:i/>
          <w:iCs/>
          <w:noProof/>
          <w:sz w:val="24"/>
          <w:szCs w:val="24"/>
        </w:rPr>
        <w:t>International Journal of Antimicrobial Agents</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55</w:t>
      </w:r>
      <w:r w:rsidRPr="00703566">
        <w:rPr>
          <w:rFonts w:ascii="Times New Roman" w:hAnsi="Times New Roman" w:cs="Times New Roman"/>
          <w:noProof/>
          <w:sz w:val="24"/>
          <w:szCs w:val="24"/>
        </w:rPr>
        <w:t>(5). https://doi.org/10.1016/j.ijantimicag.2020.105955</w:t>
      </w:r>
    </w:p>
    <w:p w14:paraId="40CDC054"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szCs w:val="24"/>
        </w:rPr>
      </w:pPr>
      <w:r w:rsidRPr="00703566">
        <w:rPr>
          <w:rFonts w:ascii="Times New Roman" w:hAnsi="Times New Roman" w:cs="Times New Roman"/>
          <w:noProof/>
          <w:sz w:val="24"/>
          <w:szCs w:val="24"/>
        </w:rPr>
        <w:lastRenderedPageBreak/>
        <w:t xml:space="preserve">Zhu, N., Zhang, D., Wang, W., Li, X., Yang, B., Song, J., Zhao, X., Huang, B., Shi, W., Lu, R., Niu, P., Zhan, F., Ma, X., Wang, D., Xu, W., Wu, G., Gao, G. F., &amp; Tan, W. (2020). A Novel Coronavirus from Patients with Pneumonia in China, 2019. </w:t>
      </w:r>
      <w:r w:rsidRPr="00703566">
        <w:rPr>
          <w:rFonts w:ascii="Times New Roman" w:hAnsi="Times New Roman" w:cs="Times New Roman"/>
          <w:i/>
          <w:iCs/>
          <w:noProof/>
          <w:sz w:val="24"/>
          <w:szCs w:val="24"/>
        </w:rPr>
        <w:t>New England Journal of Medicine</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382</w:t>
      </w:r>
      <w:r w:rsidRPr="00703566">
        <w:rPr>
          <w:rFonts w:ascii="Times New Roman" w:hAnsi="Times New Roman" w:cs="Times New Roman"/>
          <w:noProof/>
          <w:sz w:val="24"/>
          <w:szCs w:val="24"/>
        </w:rPr>
        <w:t>(8), 727–733. https://doi.org/10.1056/nejmoa2001017</w:t>
      </w:r>
    </w:p>
    <w:p w14:paraId="30582EB5" w14:textId="77777777" w:rsidR="00703566" w:rsidRPr="00703566" w:rsidRDefault="00703566" w:rsidP="00703566">
      <w:pPr>
        <w:widowControl w:val="0"/>
        <w:numPr>
          <w:ilvl w:val="0"/>
          <w:numId w:val="30"/>
        </w:numPr>
        <w:autoSpaceDE w:val="0"/>
        <w:autoSpaceDN w:val="0"/>
        <w:adjustRightInd w:val="0"/>
        <w:spacing w:line="480" w:lineRule="auto"/>
        <w:contextualSpacing/>
        <w:jc w:val="both"/>
        <w:rPr>
          <w:rFonts w:ascii="Times New Roman" w:hAnsi="Times New Roman" w:cs="Times New Roman"/>
          <w:noProof/>
          <w:sz w:val="24"/>
        </w:rPr>
      </w:pPr>
      <w:r w:rsidRPr="00703566">
        <w:rPr>
          <w:rFonts w:ascii="Times New Roman" w:hAnsi="Times New Roman" w:cs="Times New Roman"/>
          <w:noProof/>
          <w:sz w:val="24"/>
          <w:szCs w:val="24"/>
        </w:rPr>
        <w:t xml:space="preserve">Zuo, T., Zhang, F., Lui, G. C. Y., Yeoh, Y. K., Li, A. Y. L., Zhan, H., Wan, Y., Chung, A. C. K., Cheung, C. P., Chen, N., Lai, C. K. C., Chen, Z., Tso, E. Y. K., Fung, K. S. C., Chan, V., Ling, L., Joynt, G., Hui, D. S. C., Chan, F. K. L., … Ng, S. C. (2020). Alterations in Gut Microbiota of Patients With COVID-19 During Time of Hospitalization. </w:t>
      </w:r>
      <w:r w:rsidRPr="00703566">
        <w:rPr>
          <w:rFonts w:ascii="Times New Roman" w:hAnsi="Times New Roman" w:cs="Times New Roman"/>
          <w:i/>
          <w:iCs/>
          <w:noProof/>
          <w:sz w:val="24"/>
          <w:szCs w:val="24"/>
        </w:rPr>
        <w:t>Gastroenterology</w:t>
      </w:r>
      <w:r w:rsidRPr="00703566">
        <w:rPr>
          <w:rFonts w:ascii="Times New Roman" w:hAnsi="Times New Roman" w:cs="Times New Roman"/>
          <w:noProof/>
          <w:sz w:val="24"/>
          <w:szCs w:val="24"/>
        </w:rPr>
        <w:t xml:space="preserve">, </w:t>
      </w:r>
      <w:r w:rsidRPr="00703566">
        <w:rPr>
          <w:rFonts w:ascii="Times New Roman" w:hAnsi="Times New Roman" w:cs="Times New Roman"/>
          <w:i/>
          <w:iCs/>
          <w:noProof/>
          <w:sz w:val="24"/>
          <w:szCs w:val="24"/>
        </w:rPr>
        <w:t>159</w:t>
      </w:r>
      <w:r w:rsidRPr="00703566">
        <w:rPr>
          <w:rFonts w:ascii="Times New Roman" w:hAnsi="Times New Roman" w:cs="Times New Roman"/>
          <w:noProof/>
          <w:sz w:val="24"/>
          <w:szCs w:val="24"/>
        </w:rPr>
        <w:t>(3), 944-955.e8. https://doi.org/10.1053/j.gastro.2020.05.048</w:t>
      </w:r>
    </w:p>
    <w:p w14:paraId="4204A793" w14:textId="77777777" w:rsidR="00703566" w:rsidRPr="00703566" w:rsidRDefault="00703566" w:rsidP="00703566">
      <w:pPr>
        <w:spacing w:line="480" w:lineRule="auto"/>
        <w:ind w:left="2160" w:firstLine="720"/>
        <w:jc w:val="both"/>
        <w:rPr>
          <w:rFonts w:ascii="Times New Roman" w:hAnsi="Times New Roman" w:cs="Times New Roman"/>
          <w:sz w:val="24"/>
          <w:szCs w:val="24"/>
        </w:rPr>
      </w:pPr>
      <w:r w:rsidRPr="00703566">
        <w:rPr>
          <w:rFonts w:ascii="Times New Roman" w:hAnsi="Times New Roman" w:cs="Times New Roman"/>
          <w:sz w:val="24"/>
          <w:szCs w:val="24"/>
        </w:rPr>
        <w:fldChar w:fldCharType="end"/>
      </w:r>
    </w:p>
    <w:p w14:paraId="479D99BA"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041F60EC"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42D5E3DF"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2293CD50"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1B382DBD"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553F5D90"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7AF53619"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2C2966A7"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4B53DB06"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6B066485"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6F4B3F5F"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34CAFF7F"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6AB878D6"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42009171"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2AD884E1"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4F6E63A2"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58F12B05"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370C519B"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6EA38BA3"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1330CE60"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5269EA8D"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44580D79" w14:textId="77777777" w:rsidR="00703566" w:rsidRPr="00703566" w:rsidRDefault="00703566" w:rsidP="00703566">
      <w:pPr>
        <w:spacing w:line="480" w:lineRule="auto"/>
        <w:ind w:left="2160" w:firstLine="720"/>
        <w:jc w:val="both"/>
        <w:rPr>
          <w:rFonts w:ascii="Times New Roman" w:hAnsi="Times New Roman" w:cs="Times New Roman"/>
          <w:sz w:val="24"/>
          <w:szCs w:val="24"/>
        </w:rPr>
      </w:pPr>
    </w:p>
    <w:p w14:paraId="0109A42B" w14:textId="77777777" w:rsidR="00703566" w:rsidRPr="00703566" w:rsidRDefault="00703566" w:rsidP="00703566">
      <w:pPr>
        <w:spacing w:line="480" w:lineRule="auto"/>
        <w:ind w:left="2160" w:firstLine="720"/>
        <w:jc w:val="both"/>
        <w:rPr>
          <w:rFonts w:ascii="Times New Roman" w:hAnsi="Times New Roman" w:cs="Times New Roman"/>
          <w:b/>
          <w:bCs/>
          <w:sz w:val="48"/>
          <w:szCs w:val="48"/>
        </w:rPr>
      </w:pPr>
      <w:r w:rsidRPr="00703566">
        <w:rPr>
          <w:rFonts w:ascii="Times New Roman" w:hAnsi="Times New Roman" w:cs="Times New Roman"/>
          <w:b/>
          <w:bCs/>
          <w:sz w:val="48"/>
          <w:szCs w:val="48"/>
        </w:rPr>
        <w:t xml:space="preserve">APPENDICES </w:t>
      </w:r>
    </w:p>
    <w:bookmarkEnd w:id="36"/>
    <w:p w14:paraId="69EBA47D" w14:textId="77777777" w:rsidR="00703566" w:rsidRPr="00703566" w:rsidRDefault="00703566" w:rsidP="00703566">
      <w:pPr>
        <w:spacing w:line="480" w:lineRule="auto"/>
        <w:ind w:left="2160" w:firstLine="720"/>
        <w:jc w:val="both"/>
        <w:rPr>
          <w:rFonts w:ascii="Times New Roman" w:hAnsi="Times New Roman" w:cs="Times New Roman"/>
          <w:b/>
          <w:bCs/>
          <w:sz w:val="48"/>
          <w:szCs w:val="48"/>
        </w:rPr>
      </w:pPr>
    </w:p>
    <w:p w14:paraId="10124953" w14:textId="77777777" w:rsidR="00703566" w:rsidRPr="00703566" w:rsidRDefault="00703566" w:rsidP="00703566">
      <w:pPr>
        <w:spacing w:line="480" w:lineRule="auto"/>
        <w:ind w:left="2160" w:firstLine="720"/>
        <w:jc w:val="both"/>
        <w:rPr>
          <w:rFonts w:ascii="Times New Roman" w:hAnsi="Times New Roman" w:cs="Times New Roman"/>
          <w:b/>
          <w:bCs/>
          <w:sz w:val="48"/>
          <w:szCs w:val="48"/>
        </w:rPr>
      </w:pPr>
    </w:p>
    <w:p w14:paraId="2893A209" w14:textId="77777777" w:rsidR="00703566" w:rsidRPr="00703566" w:rsidRDefault="00703566" w:rsidP="00703566">
      <w:pPr>
        <w:spacing w:after="37" w:line="480" w:lineRule="auto"/>
        <w:ind w:left="2160" w:firstLine="720"/>
        <w:rPr>
          <w:rFonts w:ascii="Times New Roman" w:eastAsia="Times New Roman" w:hAnsi="Times New Roman" w:cs="Times New Roman"/>
          <w:b/>
          <w:bCs/>
          <w:color w:val="000000"/>
          <w:sz w:val="28"/>
          <w:szCs w:val="28"/>
          <w:lang w:val="en-US"/>
        </w:rPr>
      </w:pPr>
    </w:p>
    <w:p w14:paraId="42BC058A" w14:textId="77777777" w:rsidR="00703566" w:rsidRPr="00703566" w:rsidRDefault="00703566" w:rsidP="00703566">
      <w:pPr>
        <w:spacing w:after="37" w:line="480" w:lineRule="auto"/>
        <w:ind w:left="2160" w:firstLine="720"/>
        <w:rPr>
          <w:rFonts w:ascii="Times New Roman" w:eastAsia="Times New Roman" w:hAnsi="Times New Roman" w:cs="Times New Roman"/>
          <w:b/>
          <w:bCs/>
          <w:color w:val="000000"/>
          <w:sz w:val="28"/>
          <w:szCs w:val="28"/>
          <w:lang w:val="en-US"/>
        </w:rPr>
      </w:pPr>
    </w:p>
    <w:p w14:paraId="422D69E8" w14:textId="77777777" w:rsidR="00703566" w:rsidRPr="00703566" w:rsidRDefault="00703566" w:rsidP="00703566">
      <w:pPr>
        <w:spacing w:after="37" w:line="480" w:lineRule="auto"/>
        <w:ind w:left="2160" w:firstLine="720"/>
        <w:rPr>
          <w:rFonts w:ascii="Times New Roman" w:eastAsia="Times New Roman" w:hAnsi="Times New Roman" w:cs="Times New Roman"/>
          <w:b/>
          <w:bCs/>
          <w:color w:val="000000"/>
          <w:sz w:val="28"/>
          <w:szCs w:val="28"/>
          <w:lang w:val="en-US"/>
        </w:rPr>
      </w:pPr>
      <w:r w:rsidRPr="00703566">
        <w:rPr>
          <w:rFonts w:ascii="Times New Roman" w:eastAsia="Times New Roman" w:hAnsi="Times New Roman" w:cs="Times New Roman"/>
          <w:b/>
          <w:bCs/>
          <w:color w:val="000000"/>
          <w:sz w:val="28"/>
          <w:szCs w:val="28"/>
          <w:lang w:val="en-US"/>
        </w:rPr>
        <w:lastRenderedPageBreak/>
        <w:t>APPENDIX NO:1</w:t>
      </w:r>
    </w:p>
    <w:p w14:paraId="6344BCE6" w14:textId="77777777" w:rsidR="00703566" w:rsidRPr="00703566" w:rsidRDefault="00703566" w:rsidP="00703566">
      <w:pPr>
        <w:spacing w:after="37" w:line="480" w:lineRule="auto"/>
        <w:rPr>
          <w:rFonts w:ascii="Times New Roman" w:eastAsia="Times New Roman" w:hAnsi="Times New Roman" w:cs="Times New Roman"/>
          <w:b/>
          <w:bCs/>
          <w:color w:val="000000"/>
          <w:sz w:val="24"/>
          <w:szCs w:val="24"/>
          <w:lang w:val="en-US"/>
        </w:rPr>
      </w:pPr>
      <w:r w:rsidRPr="00703566">
        <w:rPr>
          <w:rFonts w:ascii="Times New Roman" w:eastAsia="Times New Roman" w:hAnsi="Times New Roman" w:cs="Times New Roman"/>
          <w:b/>
          <w:bCs/>
          <w:color w:val="000000"/>
          <w:sz w:val="24"/>
          <w:szCs w:val="24"/>
          <w:lang w:val="en-US"/>
        </w:rPr>
        <w:t xml:space="preserve">                                           INTERVIEW SCHEDULE</w:t>
      </w:r>
    </w:p>
    <w:p w14:paraId="5F0FB8AB" w14:textId="77777777" w:rsidR="00703566" w:rsidRPr="00703566" w:rsidRDefault="00703566" w:rsidP="00703566">
      <w:pPr>
        <w:spacing w:after="200"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b/>
          <w:color w:val="000000"/>
          <w:sz w:val="24"/>
          <w:szCs w:val="24"/>
          <w:u w:val="single"/>
          <w:lang w:val="en-US"/>
        </w:rPr>
        <w:t>DETERMINANTS OF COVID 19 OUT BREAK AND NUTRITIONAL PROFILE OF GERIATRIC COVID PATIENTS IN COASTAL AREAS OF ALAPPUZHA</w:t>
      </w:r>
      <w:r w:rsidRPr="00703566">
        <w:rPr>
          <w:rFonts w:ascii="Times New Roman" w:eastAsia="Times New Roman" w:hAnsi="Times New Roman" w:cs="Times New Roman"/>
          <w:b/>
          <w:color w:val="000000"/>
          <w:sz w:val="24"/>
          <w:szCs w:val="24"/>
          <w:lang w:val="en-US"/>
        </w:rPr>
        <w:t xml:space="preserve"> </w:t>
      </w:r>
    </w:p>
    <w:p w14:paraId="792C4E49" w14:textId="77777777" w:rsidR="00703566" w:rsidRPr="00703566" w:rsidRDefault="00703566" w:rsidP="00703566">
      <w:pPr>
        <w:keepNext/>
        <w:keepLines/>
        <w:spacing w:after="115" w:line="480" w:lineRule="auto"/>
        <w:jc w:val="both"/>
        <w:rPr>
          <w:rFonts w:ascii="Times New Roman" w:eastAsia="Times New Roman" w:hAnsi="Times New Roman" w:cs="Times New Roman"/>
          <w:b/>
          <w:color w:val="000000"/>
          <w:sz w:val="24"/>
          <w:szCs w:val="24"/>
          <w:u w:val="single"/>
          <w:lang w:val="en-US"/>
        </w:rPr>
      </w:pPr>
      <w:r w:rsidRPr="00703566">
        <w:rPr>
          <w:rFonts w:ascii="Times New Roman" w:eastAsia="Times New Roman" w:hAnsi="Times New Roman" w:cs="Times New Roman"/>
          <w:b/>
          <w:color w:val="000000"/>
          <w:sz w:val="24"/>
          <w:szCs w:val="24"/>
          <w:u w:val="single"/>
          <w:lang w:val="en-US"/>
        </w:rPr>
        <w:t>A.</w:t>
      </w:r>
      <w:r w:rsidRPr="00703566">
        <w:rPr>
          <w:rFonts w:ascii="Times New Roman" w:eastAsia="Arial" w:hAnsi="Times New Roman" w:cs="Times New Roman"/>
          <w:b/>
          <w:color w:val="000000"/>
          <w:sz w:val="24"/>
          <w:szCs w:val="24"/>
          <w:u w:val="single"/>
          <w:lang w:val="en-US"/>
        </w:rPr>
        <w:t xml:space="preserve"> </w:t>
      </w:r>
      <w:r w:rsidRPr="00703566">
        <w:rPr>
          <w:rFonts w:ascii="Times New Roman" w:eastAsia="Times New Roman" w:hAnsi="Times New Roman" w:cs="Times New Roman"/>
          <w:b/>
          <w:color w:val="000000"/>
          <w:sz w:val="24"/>
          <w:szCs w:val="24"/>
          <w:u w:val="single"/>
          <w:lang w:val="en-US"/>
        </w:rPr>
        <w:t xml:space="preserve">PERSONAL DATA </w:t>
      </w:r>
      <w:r w:rsidRPr="00703566">
        <w:rPr>
          <w:rFonts w:ascii="Times New Roman" w:eastAsia="Times New Roman" w:hAnsi="Times New Roman" w:cs="Times New Roman"/>
          <w:color w:val="000000"/>
          <w:sz w:val="24"/>
          <w:szCs w:val="24"/>
          <w:lang w:val="en-US"/>
        </w:rPr>
        <w:tab/>
        <w:t xml:space="preserve"> </w:t>
      </w:r>
    </w:p>
    <w:p w14:paraId="33C44261" w14:textId="77777777" w:rsidR="00703566" w:rsidRPr="00703566" w:rsidRDefault="00703566" w:rsidP="00703566">
      <w:pPr>
        <w:numPr>
          <w:ilvl w:val="0"/>
          <w:numId w:val="26"/>
        </w:numPr>
        <w:spacing w:after="116"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Name                           </w:t>
      </w:r>
      <w:r w:rsidRPr="00703566">
        <w:rPr>
          <w:rFonts w:ascii="Times New Roman" w:eastAsia="Times New Roman" w:hAnsi="Times New Roman" w:cs="Times New Roman"/>
          <w:color w:val="000000"/>
          <w:sz w:val="24"/>
          <w:szCs w:val="24"/>
          <w:lang w:val="en-US"/>
        </w:rPr>
        <w:tab/>
      </w:r>
      <w:proofErr w:type="gramStart"/>
      <w:r w:rsidRPr="00703566">
        <w:rPr>
          <w:rFonts w:ascii="Times New Roman" w:eastAsia="Times New Roman" w:hAnsi="Times New Roman" w:cs="Times New Roman"/>
          <w:color w:val="000000"/>
          <w:sz w:val="24"/>
          <w:szCs w:val="24"/>
          <w:lang w:val="en-US"/>
        </w:rPr>
        <w:tab/>
        <w:t xml:space="preserve">  :</w:t>
      </w:r>
      <w:proofErr w:type="gramEnd"/>
    </w:p>
    <w:p w14:paraId="0B334075" w14:textId="77777777" w:rsidR="00703566" w:rsidRPr="00703566" w:rsidRDefault="00703566" w:rsidP="00703566">
      <w:pPr>
        <w:numPr>
          <w:ilvl w:val="0"/>
          <w:numId w:val="26"/>
        </w:numPr>
        <w:spacing w:after="20"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Age              </w:t>
      </w:r>
      <w:r w:rsidRPr="00703566">
        <w:rPr>
          <w:rFonts w:ascii="Times New Roman" w:eastAsia="Times New Roman" w:hAnsi="Times New Roman" w:cs="Times New Roman"/>
          <w:color w:val="000000"/>
          <w:sz w:val="24"/>
          <w:szCs w:val="24"/>
          <w:lang w:val="en-US"/>
        </w:rPr>
        <w:tab/>
      </w:r>
      <w:r w:rsidRPr="00703566">
        <w:rPr>
          <w:rFonts w:ascii="Times New Roman" w:eastAsia="Times New Roman" w:hAnsi="Times New Roman" w:cs="Times New Roman"/>
          <w:color w:val="000000"/>
          <w:sz w:val="24"/>
          <w:szCs w:val="24"/>
          <w:lang w:val="en-US"/>
        </w:rPr>
        <w:tab/>
      </w:r>
      <w:r w:rsidRPr="00703566">
        <w:rPr>
          <w:rFonts w:ascii="Times New Roman" w:eastAsia="Times New Roman" w:hAnsi="Times New Roman" w:cs="Times New Roman"/>
          <w:color w:val="000000"/>
          <w:sz w:val="24"/>
          <w:szCs w:val="24"/>
          <w:lang w:val="en-US"/>
        </w:rPr>
        <w:tab/>
        <w:t xml:space="preserve"> </w:t>
      </w:r>
      <w:proofErr w:type="gramStart"/>
      <w:r w:rsidRPr="00703566">
        <w:rPr>
          <w:rFonts w:ascii="Times New Roman" w:eastAsia="Times New Roman" w:hAnsi="Times New Roman" w:cs="Times New Roman"/>
          <w:color w:val="000000"/>
          <w:sz w:val="24"/>
          <w:szCs w:val="24"/>
          <w:lang w:val="en-US"/>
        </w:rPr>
        <w:t xml:space="preserve">  :</w:t>
      </w:r>
      <w:proofErr w:type="gramEnd"/>
      <w:r w:rsidRPr="00703566">
        <w:rPr>
          <w:rFonts w:ascii="Times New Roman" w:eastAsia="Times New Roman" w:hAnsi="Times New Roman" w:cs="Times New Roman"/>
          <w:color w:val="000000"/>
          <w:sz w:val="24"/>
          <w:szCs w:val="24"/>
          <w:lang w:val="en-US"/>
        </w:rPr>
        <w:t xml:space="preserve">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55-64 ,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65-74,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75 -84 ,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85 above</w:t>
      </w:r>
    </w:p>
    <w:p w14:paraId="483C8B57" w14:textId="77777777" w:rsidR="00703566" w:rsidRPr="00703566" w:rsidRDefault="00703566" w:rsidP="00703566">
      <w:pPr>
        <w:numPr>
          <w:ilvl w:val="0"/>
          <w:numId w:val="26"/>
        </w:numPr>
        <w:spacing w:after="94"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Sex            </w:t>
      </w:r>
      <w:r w:rsidRPr="00703566">
        <w:rPr>
          <w:rFonts w:ascii="Times New Roman" w:eastAsia="Times New Roman" w:hAnsi="Times New Roman" w:cs="Times New Roman"/>
          <w:color w:val="000000"/>
          <w:sz w:val="24"/>
          <w:szCs w:val="24"/>
          <w:lang w:val="en-US"/>
        </w:rPr>
        <w:tab/>
      </w:r>
      <w:r w:rsidRPr="00703566">
        <w:rPr>
          <w:rFonts w:ascii="Times New Roman" w:eastAsia="Times New Roman" w:hAnsi="Times New Roman" w:cs="Times New Roman"/>
          <w:color w:val="000000"/>
          <w:sz w:val="24"/>
          <w:szCs w:val="24"/>
          <w:lang w:val="en-US"/>
        </w:rPr>
        <w:tab/>
      </w:r>
      <w:r w:rsidRPr="00703566">
        <w:rPr>
          <w:rFonts w:ascii="Times New Roman" w:eastAsia="Times New Roman" w:hAnsi="Times New Roman" w:cs="Times New Roman"/>
          <w:color w:val="000000"/>
          <w:sz w:val="24"/>
          <w:szCs w:val="24"/>
          <w:lang w:val="en-US"/>
        </w:rPr>
        <w:tab/>
        <w:t xml:space="preserve"> </w:t>
      </w:r>
      <w:proofErr w:type="gramStart"/>
      <w:r w:rsidRPr="00703566">
        <w:rPr>
          <w:rFonts w:ascii="Times New Roman" w:eastAsia="Times New Roman" w:hAnsi="Times New Roman" w:cs="Times New Roman"/>
          <w:color w:val="000000"/>
          <w:sz w:val="24"/>
          <w:szCs w:val="24"/>
          <w:lang w:val="en-US"/>
        </w:rPr>
        <w:t xml:space="preserve">  :</w:t>
      </w:r>
      <w:proofErr w:type="gramEnd"/>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female ,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male ,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others </w:t>
      </w:r>
    </w:p>
    <w:p w14:paraId="55BA6358" w14:textId="77777777" w:rsidR="00703566" w:rsidRPr="00703566" w:rsidRDefault="00703566" w:rsidP="00703566">
      <w:pPr>
        <w:numPr>
          <w:ilvl w:val="0"/>
          <w:numId w:val="26"/>
        </w:numPr>
        <w:spacing w:after="116"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Marital status </w:t>
      </w:r>
      <w:r w:rsidRPr="00703566">
        <w:rPr>
          <w:rFonts w:ascii="Times New Roman" w:eastAsia="Times New Roman" w:hAnsi="Times New Roman" w:cs="Times New Roman"/>
          <w:color w:val="000000"/>
          <w:sz w:val="24"/>
          <w:szCs w:val="24"/>
          <w:lang w:val="en-US"/>
        </w:rPr>
        <w:tab/>
        <w:t xml:space="preserve"> </w:t>
      </w:r>
      <w:r w:rsidRPr="00703566">
        <w:rPr>
          <w:rFonts w:ascii="Times New Roman" w:eastAsia="Times New Roman" w:hAnsi="Times New Roman" w:cs="Times New Roman"/>
          <w:color w:val="000000"/>
          <w:sz w:val="24"/>
          <w:szCs w:val="24"/>
          <w:lang w:val="en-US"/>
        </w:rPr>
        <w:tab/>
        <w:t xml:space="preserve"> </w:t>
      </w:r>
      <w:r w:rsidRPr="00703566">
        <w:rPr>
          <w:rFonts w:ascii="Times New Roman" w:eastAsia="Times New Roman" w:hAnsi="Times New Roman" w:cs="Times New Roman"/>
          <w:color w:val="000000"/>
          <w:sz w:val="24"/>
          <w:szCs w:val="24"/>
          <w:lang w:val="en-US"/>
        </w:rPr>
        <w:tab/>
        <w:t xml:space="preserve"> </w:t>
      </w:r>
      <w:proofErr w:type="gramStart"/>
      <w:r w:rsidRPr="00703566">
        <w:rPr>
          <w:rFonts w:ascii="Times New Roman" w:eastAsia="Times New Roman" w:hAnsi="Times New Roman" w:cs="Times New Roman"/>
          <w:color w:val="000000"/>
          <w:sz w:val="24"/>
          <w:szCs w:val="24"/>
          <w:lang w:val="en-US"/>
        </w:rPr>
        <w:t xml:space="preserve">  :</w:t>
      </w:r>
      <w:proofErr w:type="gramEnd"/>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single,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married </w:t>
      </w:r>
      <w:r w:rsidRPr="00703566">
        <w:rPr>
          <w:rFonts w:ascii="Times New Roman" w:eastAsia="Wingdings" w:hAnsi="Times New Roman" w:cs="Times New Roman"/>
          <w:color w:val="000000"/>
          <w:sz w:val="24"/>
          <w:szCs w:val="24"/>
          <w:lang w:val="en-US"/>
        </w:rPr>
        <w:t></w:t>
      </w:r>
      <w:r w:rsidRPr="00703566">
        <w:rPr>
          <w:rFonts w:ascii="Times New Roman" w:eastAsia="Times New Roman" w:hAnsi="Times New Roman" w:cs="Times New Roman"/>
          <w:color w:val="000000"/>
          <w:sz w:val="24"/>
          <w:szCs w:val="24"/>
          <w:lang w:val="en-US"/>
        </w:rPr>
        <w:t xml:space="preserve"> widow/widower </w:t>
      </w:r>
    </w:p>
    <w:p w14:paraId="6A81FF88" w14:textId="77777777" w:rsidR="00703566" w:rsidRPr="00703566" w:rsidRDefault="00703566" w:rsidP="00703566">
      <w:pPr>
        <w:numPr>
          <w:ilvl w:val="0"/>
          <w:numId w:val="26"/>
        </w:numPr>
        <w:spacing w:after="92"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No of family members                   </w:t>
      </w:r>
      <w:proofErr w:type="gramStart"/>
      <w:r w:rsidRPr="00703566">
        <w:rPr>
          <w:rFonts w:ascii="Times New Roman" w:eastAsia="Times New Roman" w:hAnsi="Times New Roman" w:cs="Times New Roman"/>
          <w:color w:val="000000"/>
          <w:sz w:val="24"/>
          <w:szCs w:val="24"/>
          <w:lang w:val="en-US"/>
        </w:rPr>
        <w:t xml:space="preserve">  ;</w:t>
      </w:r>
      <w:proofErr w:type="gramEnd"/>
      <w:r w:rsidRPr="00703566">
        <w:rPr>
          <w:rFonts w:ascii="Times New Roman" w:eastAsia="Times New Roman" w:hAnsi="Times New Roman" w:cs="Times New Roman"/>
          <w:color w:val="000000"/>
          <w:sz w:val="24"/>
          <w:szCs w:val="24"/>
          <w:lang w:val="en-US"/>
        </w:rPr>
        <w:t xml:space="preserve"> </w:t>
      </w:r>
    </w:p>
    <w:p w14:paraId="1834F913" w14:textId="77777777" w:rsidR="00703566" w:rsidRPr="00703566" w:rsidRDefault="00703566" w:rsidP="00703566">
      <w:pPr>
        <w:numPr>
          <w:ilvl w:val="0"/>
          <w:numId w:val="26"/>
        </w:numPr>
        <w:spacing w:after="92"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Are you in receipt of any type of social welfare pensions </w:t>
      </w:r>
      <w:proofErr w:type="gramStart"/>
      <w:r w:rsidRPr="00703566">
        <w:rPr>
          <w:rFonts w:ascii="Times New Roman" w:eastAsia="Times New Roman" w:hAnsi="Times New Roman" w:cs="Times New Roman"/>
          <w:color w:val="000000"/>
          <w:sz w:val="24"/>
          <w:szCs w:val="24"/>
          <w:lang w:val="en-US"/>
        </w:rPr>
        <w:t xml:space="preserve">  ;yes</w:t>
      </w:r>
      <w:proofErr w:type="gramEnd"/>
      <w:r w:rsidRPr="00703566">
        <w:rPr>
          <w:rFonts w:ascii="Times New Roman" w:eastAsia="Times New Roman" w:hAnsi="Times New Roman" w:cs="Times New Roman"/>
          <w:color w:val="000000"/>
          <w:sz w:val="24"/>
          <w:szCs w:val="24"/>
          <w:lang w:val="en-US"/>
        </w:rPr>
        <w:t xml:space="preserve"> / no  </w:t>
      </w:r>
    </w:p>
    <w:p w14:paraId="4343FA43" w14:textId="77777777" w:rsidR="00703566" w:rsidRPr="00703566" w:rsidRDefault="00703566" w:rsidP="00703566">
      <w:pPr>
        <w:numPr>
          <w:ilvl w:val="0"/>
          <w:numId w:val="26"/>
        </w:numPr>
        <w:spacing w:after="92"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Annual Income    </w:t>
      </w:r>
      <w:r w:rsidRPr="00703566">
        <w:rPr>
          <w:rFonts w:ascii="Times New Roman" w:eastAsia="Times New Roman" w:hAnsi="Times New Roman" w:cs="Times New Roman"/>
          <w:color w:val="000000"/>
          <w:sz w:val="24"/>
          <w:szCs w:val="24"/>
          <w:lang w:val="en-US"/>
        </w:rPr>
        <w:tab/>
      </w:r>
      <w:r w:rsidRPr="00703566">
        <w:rPr>
          <w:rFonts w:ascii="Times New Roman" w:eastAsia="Times New Roman" w:hAnsi="Times New Roman" w:cs="Times New Roman"/>
          <w:color w:val="000000"/>
          <w:sz w:val="24"/>
          <w:szCs w:val="24"/>
          <w:lang w:val="en-US"/>
        </w:rPr>
        <w:tab/>
      </w:r>
      <w:r w:rsidRPr="00703566">
        <w:rPr>
          <w:rFonts w:ascii="Times New Roman" w:eastAsia="Times New Roman" w:hAnsi="Times New Roman" w:cs="Times New Roman"/>
          <w:color w:val="000000"/>
          <w:sz w:val="24"/>
          <w:szCs w:val="24"/>
          <w:lang w:val="en-US"/>
        </w:rPr>
        <w:tab/>
        <w:t xml:space="preserve">:   </w:t>
      </w:r>
    </w:p>
    <w:p w14:paraId="21E4A433" w14:textId="77777777" w:rsidR="00703566" w:rsidRPr="00703566" w:rsidRDefault="00703566" w:rsidP="00703566">
      <w:pPr>
        <w:numPr>
          <w:ilvl w:val="0"/>
          <w:numId w:val="26"/>
        </w:numPr>
        <w:spacing w:after="116" w:line="480" w:lineRule="auto"/>
        <w:ind w:left="360"/>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Occupation    </w:t>
      </w:r>
      <w:r w:rsidRPr="00703566">
        <w:rPr>
          <w:rFonts w:ascii="Times New Roman" w:eastAsia="Times New Roman" w:hAnsi="Times New Roman" w:cs="Times New Roman"/>
          <w:color w:val="000000"/>
          <w:sz w:val="24"/>
          <w:szCs w:val="24"/>
          <w:lang w:val="en-US"/>
        </w:rPr>
        <w:tab/>
        <w:t xml:space="preserve"> </w:t>
      </w:r>
      <w:r w:rsidRPr="00703566">
        <w:rPr>
          <w:rFonts w:ascii="Times New Roman" w:eastAsia="Times New Roman" w:hAnsi="Times New Roman" w:cs="Times New Roman"/>
          <w:color w:val="000000"/>
          <w:sz w:val="24"/>
          <w:szCs w:val="24"/>
          <w:lang w:val="en-US"/>
        </w:rPr>
        <w:tab/>
        <w:t xml:space="preserve">         </w:t>
      </w:r>
      <w:proofErr w:type="gramStart"/>
      <w:r w:rsidRPr="00703566">
        <w:rPr>
          <w:rFonts w:ascii="Times New Roman" w:eastAsia="Times New Roman" w:hAnsi="Times New Roman" w:cs="Times New Roman"/>
          <w:color w:val="000000"/>
          <w:sz w:val="24"/>
          <w:szCs w:val="24"/>
          <w:lang w:val="en-US"/>
        </w:rPr>
        <w:t xml:space="preserve">  :</w:t>
      </w:r>
      <w:proofErr w:type="gramEnd"/>
    </w:p>
    <w:p w14:paraId="5B7BF36B" w14:textId="77777777" w:rsidR="00703566" w:rsidRPr="00703566" w:rsidRDefault="00703566" w:rsidP="00703566">
      <w:pPr>
        <w:pBdr>
          <w:bottom w:val="single" w:sz="4" w:space="1" w:color="auto"/>
        </w:pBdr>
        <w:spacing w:after="200" w:line="480" w:lineRule="auto"/>
        <w:contextualSpacing/>
        <w:jc w:val="both"/>
        <w:rPr>
          <w:rFonts w:ascii="Times New Roman" w:eastAsia="Calibri" w:hAnsi="Times New Roman" w:cs="Times New Roman"/>
          <w:sz w:val="24"/>
          <w:szCs w:val="24"/>
          <w:lang w:val="en-US"/>
        </w:rPr>
      </w:pPr>
    </w:p>
    <w:p w14:paraId="3D36473B" w14:textId="77777777" w:rsidR="00703566" w:rsidRPr="00703566" w:rsidRDefault="00703566" w:rsidP="00703566">
      <w:pPr>
        <w:spacing w:after="200" w:line="480" w:lineRule="auto"/>
        <w:contextualSpacing/>
        <w:jc w:val="both"/>
        <w:rPr>
          <w:rFonts w:ascii="Times New Roman" w:eastAsia="Calibri" w:hAnsi="Times New Roman" w:cs="Times New Roman"/>
          <w:sz w:val="24"/>
          <w:szCs w:val="24"/>
          <w:lang w:val="en-US"/>
        </w:rPr>
      </w:pPr>
    </w:p>
    <w:p w14:paraId="665789D5" w14:textId="77777777" w:rsidR="00703566" w:rsidRPr="00703566" w:rsidRDefault="00703566" w:rsidP="00703566">
      <w:pPr>
        <w:keepNext/>
        <w:keepLines/>
        <w:spacing w:after="115" w:line="480" w:lineRule="auto"/>
        <w:jc w:val="both"/>
        <w:rPr>
          <w:rFonts w:ascii="Times New Roman" w:eastAsia="Times New Roman" w:hAnsi="Times New Roman" w:cs="Times New Roman"/>
          <w:b/>
          <w:color w:val="000000"/>
          <w:sz w:val="24"/>
          <w:szCs w:val="24"/>
          <w:u w:val="single"/>
          <w:lang w:val="en-US"/>
        </w:rPr>
      </w:pPr>
      <w:proofErr w:type="gramStart"/>
      <w:r w:rsidRPr="00703566">
        <w:rPr>
          <w:rFonts w:ascii="Times New Roman" w:eastAsia="Times New Roman" w:hAnsi="Times New Roman" w:cs="Times New Roman"/>
          <w:b/>
          <w:color w:val="000000"/>
          <w:sz w:val="24"/>
          <w:szCs w:val="24"/>
          <w:u w:val="single"/>
          <w:lang w:val="en-US"/>
        </w:rPr>
        <w:t>B .</w:t>
      </w:r>
      <w:proofErr w:type="gramEnd"/>
      <w:r w:rsidRPr="00703566">
        <w:rPr>
          <w:rFonts w:ascii="Times New Roman" w:eastAsia="Times New Roman" w:hAnsi="Times New Roman" w:cs="Times New Roman"/>
          <w:b/>
          <w:color w:val="000000"/>
          <w:sz w:val="24"/>
          <w:szCs w:val="24"/>
          <w:u w:val="single"/>
          <w:lang w:val="en-US"/>
        </w:rPr>
        <w:t xml:space="preserve"> NUTRITIONAL AND HEALTH ASSESSMENT </w:t>
      </w:r>
    </w:p>
    <w:p w14:paraId="474FA3B2" w14:textId="77777777" w:rsidR="00703566" w:rsidRPr="00703566" w:rsidRDefault="00703566" w:rsidP="00703566">
      <w:pPr>
        <w:spacing w:after="115"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b/>
          <w:color w:val="000000"/>
          <w:sz w:val="24"/>
          <w:szCs w:val="24"/>
          <w:lang w:val="en-US"/>
        </w:rPr>
        <w:t xml:space="preserve"> </w:t>
      </w:r>
    </w:p>
    <w:p w14:paraId="5547AC0B" w14:textId="77777777" w:rsidR="00703566" w:rsidRPr="00703566" w:rsidRDefault="00703566" w:rsidP="00703566">
      <w:pPr>
        <w:numPr>
          <w:ilvl w:val="2"/>
          <w:numId w:val="27"/>
        </w:numPr>
        <w:spacing w:after="3" w:line="480" w:lineRule="auto"/>
        <w:contextualSpacing/>
        <w:jc w:val="both"/>
        <w:rPr>
          <w:rFonts w:ascii="Times New Roman" w:eastAsia="Times New Roman" w:hAnsi="Times New Roman" w:cs="Times New Roman"/>
          <w:color w:val="000000"/>
          <w:sz w:val="24"/>
          <w:szCs w:val="24"/>
          <w:lang w:val="en-US"/>
        </w:rPr>
      </w:pPr>
      <w:proofErr w:type="gramStart"/>
      <w:r w:rsidRPr="00703566">
        <w:rPr>
          <w:rFonts w:ascii="Times New Roman" w:eastAsia="Times New Roman" w:hAnsi="Times New Roman" w:cs="Times New Roman"/>
          <w:color w:val="000000"/>
          <w:sz w:val="24"/>
          <w:szCs w:val="24"/>
          <w:lang w:val="en-US"/>
        </w:rPr>
        <w:t>Weight :</w:t>
      </w:r>
      <w:proofErr w:type="gramEnd"/>
    </w:p>
    <w:p w14:paraId="39A00DAB" w14:textId="77777777" w:rsidR="00703566" w:rsidRPr="00703566" w:rsidRDefault="00703566" w:rsidP="00703566">
      <w:pPr>
        <w:numPr>
          <w:ilvl w:val="2"/>
          <w:numId w:val="27"/>
        </w:numPr>
        <w:spacing w:after="3" w:line="480" w:lineRule="auto"/>
        <w:contextualSpacing/>
        <w:jc w:val="both"/>
        <w:rPr>
          <w:rFonts w:ascii="Times New Roman" w:eastAsia="Times New Roman" w:hAnsi="Times New Roman" w:cs="Times New Roman"/>
          <w:color w:val="000000"/>
          <w:sz w:val="24"/>
          <w:szCs w:val="24"/>
          <w:lang w:val="en-US"/>
        </w:rPr>
      </w:pPr>
      <w:proofErr w:type="gramStart"/>
      <w:r w:rsidRPr="00703566">
        <w:rPr>
          <w:rFonts w:ascii="Times New Roman" w:eastAsia="Times New Roman" w:hAnsi="Times New Roman" w:cs="Times New Roman"/>
          <w:color w:val="000000"/>
          <w:sz w:val="24"/>
          <w:szCs w:val="24"/>
          <w:lang w:val="en-US"/>
        </w:rPr>
        <w:t>Height :</w:t>
      </w:r>
      <w:proofErr w:type="gramEnd"/>
    </w:p>
    <w:p w14:paraId="4C3933A2" w14:textId="77777777" w:rsidR="00703566" w:rsidRPr="00703566" w:rsidRDefault="00703566" w:rsidP="00703566">
      <w:pPr>
        <w:numPr>
          <w:ilvl w:val="2"/>
          <w:numId w:val="27"/>
        </w:numPr>
        <w:spacing w:after="75" w:line="480" w:lineRule="auto"/>
        <w:contextualSpacing/>
        <w:jc w:val="both"/>
        <w:rPr>
          <w:rFonts w:ascii="Times New Roman" w:eastAsia="Times New Roman" w:hAnsi="Times New Roman" w:cs="Times New Roman"/>
          <w:color w:val="000000"/>
          <w:sz w:val="24"/>
          <w:szCs w:val="24"/>
          <w:lang w:val="en-US"/>
        </w:rPr>
      </w:pPr>
      <w:proofErr w:type="gramStart"/>
      <w:r w:rsidRPr="00703566">
        <w:rPr>
          <w:rFonts w:ascii="Times New Roman" w:eastAsia="Times New Roman" w:hAnsi="Times New Roman" w:cs="Times New Roman"/>
          <w:color w:val="000000"/>
          <w:sz w:val="24"/>
          <w:szCs w:val="24"/>
          <w:lang w:val="en-US"/>
        </w:rPr>
        <w:t>BMI :</w:t>
      </w:r>
      <w:proofErr w:type="gramEnd"/>
      <w:r w:rsidRPr="00703566">
        <w:rPr>
          <w:rFonts w:ascii="Times New Roman" w:eastAsia="Times New Roman" w:hAnsi="Times New Roman" w:cs="Times New Roman"/>
          <w:color w:val="000000"/>
          <w:sz w:val="24"/>
          <w:szCs w:val="24"/>
          <w:lang w:val="en-US"/>
        </w:rPr>
        <w:t xml:space="preserve">         underweight/normal /overweight / obesity</w:t>
      </w:r>
    </w:p>
    <w:p w14:paraId="497EB7E0" w14:textId="77777777" w:rsidR="00703566" w:rsidRPr="00703566" w:rsidRDefault="00703566" w:rsidP="00703566">
      <w:pPr>
        <w:numPr>
          <w:ilvl w:val="0"/>
          <w:numId w:val="28"/>
        </w:numPr>
        <w:spacing w:after="75"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Which is the mode of transmission of covid </w:t>
      </w:r>
      <w:proofErr w:type="gramStart"/>
      <w:r w:rsidRPr="00703566">
        <w:rPr>
          <w:rFonts w:ascii="Times New Roman" w:eastAsia="Times New Roman" w:hAnsi="Times New Roman" w:cs="Times New Roman"/>
          <w:color w:val="000000"/>
          <w:sz w:val="24"/>
          <w:szCs w:val="24"/>
          <w:lang w:val="en-US"/>
        </w:rPr>
        <w:t xml:space="preserve">19;  </w:t>
      </w:r>
      <w:r w:rsidRPr="00703566">
        <w:rPr>
          <w:rFonts w:ascii="Wingdings" w:eastAsia="Wingdings" w:hAnsi="Wingdings" w:cs="Wingdings"/>
          <w:color w:val="000000"/>
          <w:sz w:val="24"/>
          <w:szCs w:val="24"/>
          <w:lang w:val="en-US"/>
        </w:rPr>
        <w:t>p</w:t>
      </w:r>
      <w:proofErr w:type="gramEnd"/>
      <w:r w:rsidRPr="00703566">
        <w:rPr>
          <w:rFonts w:ascii="Times New Roman" w:eastAsia="Times New Roman" w:hAnsi="Times New Roman" w:cs="Times New Roman"/>
          <w:color w:val="000000"/>
          <w:sz w:val="24"/>
          <w:szCs w:val="24"/>
          <w:lang w:val="en-US"/>
        </w:rPr>
        <w:t xml:space="preserve"> work place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close contact with infected person ,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travel ,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others  </w:t>
      </w:r>
    </w:p>
    <w:p w14:paraId="1D60E70A" w14:textId="77777777" w:rsidR="00703566" w:rsidRPr="00703566" w:rsidRDefault="00703566" w:rsidP="00703566">
      <w:pPr>
        <w:numPr>
          <w:ilvl w:val="0"/>
          <w:numId w:val="28"/>
        </w:numPr>
        <w:spacing w:after="116"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lastRenderedPageBreak/>
        <w:t xml:space="preserve">No of hospital days      </w:t>
      </w:r>
      <w:r w:rsidRPr="00703566">
        <w:rPr>
          <w:rFonts w:ascii="Times New Roman" w:eastAsia="Times New Roman" w:hAnsi="Times New Roman" w:cs="Times New Roman"/>
          <w:color w:val="000000"/>
          <w:sz w:val="24"/>
          <w:szCs w:val="24"/>
          <w:lang w:val="en-US"/>
        </w:rPr>
        <w:tab/>
        <w:t xml:space="preserve">; </w:t>
      </w:r>
    </w:p>
    <w:p w14:paraId="298C3C3B" w14:textId="77777777" w:rsidR="00703566" w:rsidRPr="00703566" w:rsidRDefault="00703566" w:rsidP="00703566">
      <w:pPr>
        <w:numPr>
          <w:ilvl w:val="0"/>
          <w:numId w:val="28"/>
        </w:numPr>
        <w:spacing w:after="116"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which center /hospital you were admitted:  first line treatment center / medical college</w:t>
      </w:r>
    </w:p>
    <w:p w14:paraId="03EF75DC" w14:textId="77777777" w:rsidR="00703566" w:rsidRPr="00703566" w:rsidRDefault="00703566" w:rsidP="00703566">
      <w:pPr>
        <w:numPr>
          <w:ilvl w:val="0"/>
          <w:numId w:val="28"/>
        </w:numPr>
        <w:spacing w:after="76"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Signs and symptoms during hospital </w:t>
      </w:r>
      <w:proofErr w:type="gramStart"/>
      <w:r w:rsidRPr="00703566">
        <w:rPr>
          <w:rFonts w:ascii="Times New Roman" w:eastAsia="Times New Roman" w:hAnsi="Times New Roman" w:cs="Times New Roman"/>
          <w:color w:val="000000"/>
          <w:sz w:val="24"/>
          <w:szCs w:val="24"/>
          <w:lang w:val="en-US"/>
        </w:rPr>
        <w:t>days ;</w:t>
      </w:r>
      <w:proofErr w:type="gramEnd"/>
      <w:r w:rsidRPr="00703566">
        <w:rPr>
          <w:rFonts w:ascii="Times New Roman" w:eastAsia="Times New Roman" w:hAnsi="Times New Roman" w:cs="Times New Roman"/>
          <w:color w:val="000000"/>
          <w:sz w:val="24"/>
          <w:szCs w:val="24"/>
          <w:lang w:val="en-US"/>
        </w:rPr>
        <w:t xml:space="preserv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fever ,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dry cough, </w:t>
      </w:r>
      <w:bookmarkStart w:id="37" w:name="_Hlk69280545"/>
      <w:r w:rsidRPr="00703566">
        <w:rPr>
          <w:rFonts w:ascii="Wingdings" w:eastAsia="Wingdings" w:hAnsi="Wingdings" w:cs="Wingdings"/>
          <w:color w:val="000000"/>
          <w:sz w:val="24"/>
          <w:szCs w:val="24"/>
          <w:lang w:val="en-US"/>
        </w:rPr>
        <w:t>p</w:t>
      </w:r>
      <w:bookmarkEnd w:id="37"/>
      <w:r w:rsidRPr="00703566">
        <w:rPr>
          <w:rFonts w:ascii="Times New Roman" w:eastAsia="Times New Roman" w:hAnsi="Times New Roman" w:cs="Times New Roman"/>
          <w:color w:val="000000"/>
          <w:sz w:val="24"/>
          <w:szCs w:val="24"/>
          <w:lang w:val="en-US"/>
        </w:rPr>
        <w:t xml:space="preserve"> tiredness, </w:t>
      </w:r>
      <w:r w:rsidRPr="00703566">
        <w:rPr>
          <w:rFonts w:ascii="Wingdings" w:eastAsia="Wingdings" w:hAnsi="Wingdings" w:cs="Wingdings"/>
          <w:color w:val="000000"/>
          <w:sz w:val="24"/>
          <w:szCs w:val="24"/>
          <w:lang w:val="en-US"/>
        </w:rPr>
        <w:t>p</w:t>
      </w:r>
      <w:proofErr w:type="spellStart"/>
      <w:r w:rsidRPr="00703566">
        <w:rPr>
          <w:rFonts w:ascii="Times New Roman" w:eastAsia="Times New Roman" w:hAnsi="Times New Roman" w:cs="Times New Roman"/>
          <w:color w:val="000000"/>
          <w:sz w:val="24"/>
          <w:szCs w:val="24"/>
          <w:lang w:val="en-US"/>
        </w:rPr>
        <w:t>diarrhoea</w:t>
      </w:r>
      <w:proofErr w:type="spellEnd"/>
      <w:r w:rsidRPr="00703566">
        <w:rPr>
          <w:rFonts w:ascii="Times New Roman" w:eastAsia="Times New Roman" w:hAnsi="Times New Roman" w:cs="Times New Roman"/>
          <w:color w:val="000000"/>
          <w:sz w:val="24"/>
          <w:szCs w:val="24"/>
          <w:lang w:val="en-US"/>
        </w:rPr>
        <w:t xml:space="preserv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headache,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loss of taste or smell,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rashes on skin,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shortness of breath,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difficulty to breath,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chest pain,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loss of speech/movement </w:t>
      </w:r>
    </w:p>
    <w:p w14:paraId="148924E8" w14:textId="77777777" w:rsidR="00703566" w:rsidRPr="00703566" w:rsidRDefault="00703566" w:rsidP="00703566">
      <w:pPr>
        <w:numPr>
          <w:ilvl w:val="0"/>
          <w:numId w:val="28"/>
        </w:numPr>
        <w:spacing w:after="71"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Mention any difficulties after covid </w:t>
      </w:r>
      <w:proofErr w:type="gramStart"/>
      <w:r w:rsidRPr="00703566">
        <w:rPr>
          <w:rFonts w:ascii="Times New Roman" w:eastAsia="Times New Roman" w:hAnsi="Times New Roman" w:cs="Times New Roman"/>
          <w:color w:val="000000"/>
          <w:sz w:val="24"/>
          <w:szCs w:val="24"/>
          <w:lang w:val="en-US"/>
        </w:rPr>
        <w:t>19 :</w:t>
      </w:r>
      <w:proofErr w:type="gramEnd"/>
      <w:r w:rsidRPr="00703566">
        <w:rPr>
          <w:rFonts w:ascii="Times New Roman" w:eastAsia="Times New Roman" w:hAnsi="Times New Roman" w:cs="Times New Roman"/>
          <w:color w:val="000000"/>
          <w:sz w:val="24"/>
          <w:szCs w:val="24"/>
          <w:lang w:val="en-US"/>
        </w:rPr>
        <w:t xml:space="preserv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fatigue,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shortness of breath,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heart attack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loss of smell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memory loss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pain in join and muscle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sleep disturbance</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palpitation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other </w:t>
      </w:r>
    </w:p>
    <w:p w14:paraId="6C59A3A8" w14:textId="77777777" w:rsidR="00703566" w:rsidRPr="00703566" w:rsidRDefault="00703566" w:rsidP="00703566">
      <w:pPr>
        <w:numPr>
          <w:ilvl w:val="0"/>
          <w:numId w:val="28"/>
        </w:numPr>
        <w:spacing w:after="71"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 Tidal </w:t>
      </w:r>
      <w:proofErr w:type="gramStart"/>
      <w:r w:rsidRPr="00703566">
        <w:rPr>
          <w:rFonts w:ascii="Times New Roman" w:eastAsia="Times New Roman" w:hAnsi="Times New Roman" w:cs="Times New Roman"/>
          <w:color w:val="000000"/>
          <w:sz w:val="24"/>
          <w:szCs w:val="24"/>
          <w:lang w:val="en-US"/>
        </w:rPr>
        <w:t>volume :</w:t>
      </w:r>
      <w:proofErr w:type="gramEnd"/>
      <w:r w:rsidRPr="00703566">
        <w:rPr>
          <w:rFonts w:ascii="Times New Roman" w:eastAsia="Times New Roman" w:hAnsi="Times New Roman" w:cs="Times New Roman"/>
          <w:color w:val="000000"/>
          <w:sz w:val="24"/>
          <w:szCs w:val="24"/>
          <w:lang w:val="en-US"/>
        </w:rPr>
        <w:t xml:space="preserve">     too low /normal /high</w:t>
      </w:r>
    </w:p>
    <w:p w14:paraId="45E859E5" w14:textId="77777777" w:rsidR="00703566" w:rsidRPr="00703566" w:rsidRDefault="00703566" w:rsidP="00703566">
      <w:pPr>
        <w:numPr>
          <w:ilvl w:val="0"/>
          <w:numId w:val="28"/>
        </w:numPr>
        <w:spacing w:after="71"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Medical history             </w:t>
      </w:r>
      <w:proofErr w:type="gramStart"/>
      <w:r w:rsidRPr="00703566">
        <w:rPr>
          <w:rFonts w:ascii="Times New Roman" w:eastAsia="Times New Roman" w:hAnsi="Times New Roman" w:cs="Times New Roman"/>
          <w:color w:val="000000"/>
          <w:sz w:val="24"/>
          <w:szCs w:val="24"/>
          <w:lang w:val="en-US"/>
        </w:rPr>
        <w:t xml:space="preserve">  :</w:t>
      </w:r>
      <w:proofErr w:type="gramEnd"/>
      <w:r w:rsidRPr="00703566">
        <w:rPr>
          <w:rFonts w:ascii="Times New Roman" w:eastAsia="Times New Roman" w:hAnsi="Times New Roman" w:cs="Times New Roman"/>
          <w:color w:val="000000"/>
          <w:sz w:val="24"/>
          <w:szCs w:val="24"/>
          <w:lang w:val="en-US"/>
        </w:rPr>
        <w:t xml:space="preserv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DM,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HTN ,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COPD,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 Heart disease  </w:t>
      </w:r>
      <w:r w:rsidRPr="00703566">
        <w:rPr>
          <w:rFonts w:ascii="Wingdings" w:eastAsia="Wingdings" w:hAnsi="Wingdings" w:cs="Wingdings"/>
          <w:color w:val="000000"/>
          <w:sz w:val="24"/>
          <w:szCs w:val="24"/>
          <w:lang w:val="en-US"/>
        </w:rPr>
        <w:t>p</w:t>
      </w:r>
      <w:r w:rsidRPr="00703566">
        <w:rPr>
          <w:rFonts w:ascii="Times New Roman" w:eastAsia="Times New Roman" w:hAnsi="Times New Roman" w:cs="Times New Roman"/>
          <w:color w:val="000000"/>
          <w:sz w:val="24"/>
          <w:szCs w:val="24"/>
          <w:lang w:val="en-US"/>
        </w:rPr>
        <w:t xml:space="preserve">Cancer  </w:t>
      </w:r>
    </w:p>
    <w:p w14:paraId="7DCD7563" w14:textId="77777777" w:rsidR="00703566" w:rsidRPr="00703566" w:rsidRDefault="00703566" w:rsidP="00703566">
      <w:pPr>
        <w:spacing w:after="3" w:line="480" w:lineRule="auto"/>
        <w:jc w:val="both"/>
        <w:rPr>
          <w:rFonts w:ascii="Times New Roman" w:eastAsia="Times New Roman" w:hAnsi="Times New Roman" w:cs="Times New Roman"/>
          <w:color w:val="000000"/>
          <w:sz w:val="24"/>
          <w:szCs w:val="24"/>
          <w:lang w:val="en-US"/>
        </w:rPr>
      </w:pPr>
    </w:p>
    <w:p w14:paraId="4E1D56F1" w14:textId="77777777" w:rsidR="00703566" w:rsidRPr="00703566" w:rsidRDefault="00703566" w:rsidP="00703566">
      <w:pPr>
        <w:numPr>
          <w:ilvl w:val="0"/>
          <w:numId w:val="28"/>
        </w:numPr>
        <w:spacing w:after="3"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As an effect of covid 19, has any life style disease like hypertension, diabetes, etc. are worsened? </w:t>
      </w:r>
    </w:p>
    <w:p w14:paraId="569D3EAE" w14:textId="77777777" w:rsidR="00703566" w:rsidRPr="00703566" w:rsidRDefault="00703566" w:rsidP="00703566">
      <w:pPr>
        <w:spacing w:after="3"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                                                                              yes/ no</w:t>
      </w:r>
    </w:p>
    <w:p w14:paraId="697A7EF6" w14:textId="77777777" w:rsidR="00703566" w:rsidRPr="00703566" w:rsidRDefault="00703566" w:rsidP="00703566">
      <w:pPr>
        <w:numPr>
          <w:ilvl w:val="0"/>
          <w:numId w:val="28"/>
        </w:numPr>
        <w:spacing w:after="3"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after covid 19, did any situation arises where you had to consult a doctor?  yes / no</w:t>
      </w:r>
    </w:p>
    <w:p w14:paraId="1B6596D6" w14:textId="77777777" w:rsidR="00703566" w:rsidRPr="00703566" w:rsidRDefault="00703566" w:rsidP="00703566">
      <w:pPr>
        <w:numPr>
          <w:ilvl w:val="0"/>
          <w:numId w:val="28"/>
        </w:numPr>
        <w:spacing w:after="3" w:line="480" w:lineRule="auto"/>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 xml:space="preserve">Have you refrained from visiting hospital due to fear of covid even when you </w:t>
      </w:r>
      <w:proofErr w:type="spellStart"/>
      <w:r w:rsidRPr="00703566">
        <w:rPr>
          <w:rFonts w:ascii="Times New Roman" w:eastAsia="Times New Roman" w:hAnsi="Times New Roman" w:cs="Times New Roman"/>
          <w:color w:val="000000"/>
          <w:sz w:val="24"/>
          <w:szCs w:val="24"/>
          <w:lang w:val="en-US"/>
        </w:rPr>
        <w:t>where</w:t>
      </w:r>
      <w:proofErr w:type="spellEnd"/>
      <w:r w:rsidRPr="00703566">
        <w:rPr>
          <w:rFonts w:ascii="Times New Roman" w:eastAsia="Times New Roman" w:hAnsi="Times New Roman" w:cs="Times New Roman"/>
          <w:color w:val="000000"/>
          <w:sz w:val="24"/>
          <w:szCs w:val="24"/>
          <w:lang w:val="en-US"/>
        </w:rPr>
        <w:t xml:space="preserve"> in need of medical aid? yes/ no</w:t>
      </w:r>
    </w:p>
    <w:p w14:paraId="23583FB3" w14:textId="77777777" w:rsidR="00703566" w:rsidRPr="00703566" w:rsidRDefault="00703566" w:rsidP="00703566">
      <w:pPr>
        <w:numPr>
          <w:ilvl w:val="0"/>
          <w:numId w:val="28"/>
        </w:numPr>
        <w:spacing w:after="115" w:line="480" w:lineRule="auto"/>
        <w:contextualSpacing/>
        <w:jc w:val="both"/>
        <w:rPr>
          <w:rFonts w:ascii="Times New Roman" w:eastAsia="Times New Roman" w:hAnsi="Times New Roman" w:cs="Times New Roman"/>
          <w:color w:val="000000"/>
          <w:sz w:val="24"/>
          <w:szCs w:val="24"/>
          <w:lang w:val="en-US"/>
        </w:rPr>
      </w:pPr>
      <w:r w:rsidRPr="00703566">
        <w:rPr>
          <w:rFonts w:ascii="Times New Roman" w:eastAsia="Times New Roman" w:hAnsi="Times New Roman" w:cs="Times New Roman"/>
          <w:color w:val="000000"/>
          <w:sz w:val="24"/>
          <w:szCs w:val="24"/>
          <w:lang w:val="en-US"/>
        </w:rPr>
        <w:t>How long you took regain smell and taste after recovery?</w:t>
      </w:r>
    </w:p>
    <w:p w14:paraId="0B907319" w14:textId="77777777" w:rsidR="00703566" w:rsidRPr="00703566" w:rsidRDefault="00703566" w:rsidP="00703566">
      <w:pPr>
        <w:spacing w:after="200" w:line="480" w:lineRule="auto"/>
        <w:contextualSpacing/>
        <w:jc w:val="both"/>
        <w:rPr>
          <w:rFonts w:ascii="Times New Roman" w:eastAsia="Calibri" w:hAnsi="Times New Roman" w:cs="Times New Roman"/>
          <w:b/>
          <w:sz w:val="24"/>
          <w:szCs w:val="24"/>
          <w:lang w:val="en-US"/>
        </w:rPr>
      </w:pPr>
    </w:p>
    <w:p w14:paraId="3F9C3AFB" w14:textId="77777777" w:rsidR="00703566" w:rsidRPr="00703566" w:rsidRDefault="00703566" w:rsidP="00703566">
      <w:pPr>
        <w:spacing w:after="200" w:line="480" w:lineRule="auto"/>
        <w:contextualSpacing/>
        <w:jc w:val="both"/>
        <w:rPr>
          <w:rFonts w:ascii="Times New Roman" w:eastAsia="Calibri" w:hAnsi="Times New Roman" w:cs="Times New Roman"/>
          <w:b/>
          <w:sz w:val="24"/>
          <w:szCs w:val="24"/>
          <w:lang w:val="en-US"/>
        </w:rPr>
      </w:pPr>
    </w:p>
    <w:p w14:paraId="678F9229" w14:textId="77777777" w:rsidR="00703566" w:rsidRPr="00703566" w:rsidRDefault="00703566" w:rsidP="00703566">
      <w:pPr>
        <w:spacing w:after="200" w:line="480" w:lineRule="auto"/>
        <w:contextualSpacing/>
        <w:jc w:val="both"/>
        <w:rPr>
          <w:rFonts w:ascii="Times New Roman" w:eastAsia="Calibri" w:hAnsi="Times New Roman" w:cs="Times New Roman"/>
          <w:b/>
          <w:sz w:val="24"/>
          <w:szCs w:val="24"/>
          <w:lang w:val="en-US"/>
        </w:rPr>
      </w:pPr>
    </w:p>
    <w:p w14:paraId="09E72D14" w14:textId="77777777" w:rsidR="00703566" w:rsidRPr="00703566" w:rsidRDefault="00703566" w:rsidP="00703566">
      <w:p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b/>
          <w:sz w:val="24"/>
          <w:szCs w:val="24"/>
          <w:lang w:val="en-US"/>
        </w:rPr>
        <w:t xml:space="preserve">          Nutritional Assessment</w:t>
      </w:r>
    </w:p>
    <w:p w14:paraId="04B90740" w14:textId="77777777" w:rsidR="00703566" w:rsidRPr="00703566" w:rsidRDefault="00703566" w:rsidP="00703566">
      <w:pPr>
        <w:spacing w:after="200" w:line="480" w:lineRule="auto"/>
        <w:contextualSpacing/>
        <w:jc w:val="both"/>
        <w:rPr>
          <w:rFonts w:ascii="Times New Roman" w:eastAsia="Calibri" w:hAnsi="Times New Roman" w:cs="Times New Roman"/>
          <w:sz w:val="24"/>
          <w:szCs w:val="24"/>
          <w:lang w:val="en-US"/>
        </w:rPr>
      </w:pPr>
    </w:p>
    <w:p w14:paraId="4957D174" w14:textId="77777777" w:rsidR="00703566" w:rsidRPr="00703566" w:rsidRDefault="00703566" w:rsidP="00703566">
      <w:pPr>
        <w:spacing w:after="200" w:line="480" w:lineRule="auto"/>
        <w:contextualSpacing/>
        <w:jc w:val="both"/>
        <w:rPr>
          <w:rFonts w:ascii="Times New Roman" w:eastAsia="Calibri" w:hAnsi="Times New Roman" w:cs="Times New Roman"/>
          <w:sz w:val="24"/>
          <w:szCs w:val="24"/>
          <w:lang w:val="en-US"/>
        </w:rPr>
      </w:pPr>
    </w:p>
    <w:tbl>
      <w:tblPr>
        <w:tblStyle w:val="TableGrid31"/>
        <w:tblW w:w="0" w:type="auto"/>
        <w:tblInd w:w="279" w:type="dxa"/>
        <w:tblLook w:val="04A0" w:firstRow="1" w:lastRow="0" w:firstColumn="1" w:lastColumn="0" w:noHBand="0" w:noVBand="1"/>
      </w:tblPr>
      <w:tblGrid>
        <w:gridCol w:w="3259"/>
        <w:gridCol w:w="2739"/>
        <w:gridCol w:w="2739"/>
      </w:tblGrid>
      <w:tr w:rsidR="00703566" w:rsidRPr="00703566" w14:paraId="6277AD84" w14:textId="77777777" w:rsidTr="008A6F48">
        <w:tc>
          <w:tcPr>
            <w:tcW w:w="3259" w:type="dxa"/>
          </w:tcPr>
          <w:p w14:paraId="490B399D" w14:textId="77777777" w:rsidR="00703566" w:rsidRPr="00703566" w:rsidRDefault="00703566" w:rsidP="00703566">
            <w:pPr>
              <w:spacing w:line="48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lastRenderedPageBreak/>
              <w:t xml:space="preserve">Questions </w:t>
            </w:r>
          </w:p>
        </w:tc>
        <w:tc>
          <w:tcPr>
            <w:tcW w:w="2739" w:type="dxa"/>
          </w:tcPr>
          <w:p w14:paraId="4EAE1A25" w14:textId="77777777" w:rsidR="00703566" w:rsidRPr="00703566" w:rsidRDefault="00703566" w:rsidP="00703566">
            <w:pPr>
              <w:spacing w:line="48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During covid 19</w:t>
            </w:r>
          </w:p>
        </w:tc>
        <w:tc>
          <w:tcPr>
            <w:tcW w:w="2739" w:type="dxa"/>
          </w:tcPr>
          <w:p w14:paraId="082DDCAE" w14:textId="77777777" w:rsidR="00703566" w:rsidRPr="00703566" w:rsidRDefault="00703566" w:rsidP="00703566">
            <w:pPr>
              <w:spacing w:line="48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After covid 19</w:t>
            </w:r>
          </w:p>
        </w:tc>
      </w:tr>
      <w:tr w:rsidR="00703566" w:rsidRPr="00703566" w14:paraId="7BD3DC19" w14:textId="77777777" w:rsidTr="008A6F48">
        <w:tc>
          <w:tcPr>
            <w:tcW w:w="3259" w:type="dxa"/>
          </w:tcPr>
          <w:p w14:paraId="24488489" w14:textId="77777777" w:rsidR="00703566" w:rsidRPr="00703566" w:rsidRDefault="00703566" w:rsidP="00703566">
            <w:pPr>
              <w:numPr>
                <w:ilvl w:val="1"/>
                <w:numId w:val="11"/>
              </w:numPr>
              <w:spacing w:line="48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Has food intake decline over the past 3 months due to less appetite, digestive problem, chewing or swallowing difficulties</w:t>
            </w:r>
          </w:p>
          <w:p w14:paraId="0D113E9C"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699B9B0B"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severe increase in food intake</w:t>
            </w:r>
          </w:p>
          <w:p w14:paraId="1197F3EE"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moderate decrease in food intake</w:t>
            </w:r>
          </w:p>
          <w:p w14:paraId="0D759967"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No decreasing in food intake                      </w:t>
            </w:r>
          </w:p>
          <w:p w14:paraId="738AB0C6"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2AAC8A27"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severe increase in food intake</w:t>
            </w:r>
          </w:p>
          <w:p w14:paraId="383CB523"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1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moderate decrease in food intake</w:t>
            </w:r>
          </w:p>
          <w:p w14:paraId="0BFDD7AF"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No decreasing in food intake</w:t>
            </w:r>
          </w:p>
          <w:p w14:paraId="2448117E"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r>
      <w:tr w:rsidR="00703566" w:rsidRPr="00703566" w14:paraId="387ED813" w14:textId="77777777" w:rsidTr="008A6F48">
        <w:tc>
          <w:tcPr>
            <w:tcW w:w="3259" w:type="dxa"/>
          </w:tcPr>
          <w:p w14:paraId="09AF964F" w14:textId="77777777" w:rsidR="00703566" w:rsidRPr="00703566" w:rsidRDefault="00703566" w:rsidP="00703566">
            <w:pPr>
              <w:spacing w:line="48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Weight loss during at least 3 months</w:t>
            </w:r>
          </w:p>
        </w:tc>
        <w:tc>
          <w:tcPr>
            <w:tcW w:w="2739" w:type="dxa"/>
          </w:tcPr>
          <w:p w14:paraId="3026057B"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0</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weight loss greater than 3kg </w:t>
            </w:r>
            <w:r w:rsidRPr="00703566">
              <w:rPr>
                <w:rFonts w:ascii="Times New Roman" w:eastAsia="Calibri" w:hAnsi="Times New Roman" w:cs="Times New Roman"/>
                <w:sz w:val="24"/>
                <w:szCs w:val="24"/>
              </w:rPr>
              <w:tab/>
              <w:t xml:space="preserve">          </w:t>
            </w:r>
          </w:p>
          <w:p w14:paraId="3DACFCAD"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1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does not know                                          </w:t>
            </w:r>
          </w:p>
          <w:p w14:paraId="30664D25"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weight loss between 1 and 3kg                 3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no weight loss                                            </w:t>
            </w:r>
          </w:p>
          <w:p w14:paraId="5FAA452E" w14:textId="77777777" w:rsidR="00703566" w:rsidRPr="00703566" w:rsidRDefault="00703566" w:rsidP="00703566">
            <w:pPr>
              <w:tabs>
                <w:tab w:val="center" w:pos="5040"/>
              </w:tabs>
              <w:spacing w:line="480" w:lineRule="auto"/>
              <w:contextualSpacing/>
              <w:jc w:val="both"/>
              <w:rPr>
                <w:rFonts w:ascii="Times New Roman" w:eastAsia="Calibri" w:hAnsi="Times New Roman" w:cs="Times New Roman"/>
                <w:sz w:val="24"/>
                <w:szCs w:val="24"/>
              </w:rPr>
            </w:pPr>
          </w:p>
          <w:p w14:paraId="222CCD28"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2BC72A09"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weight loss greater than 3kg </w:t>
            </w:r>
            <w:r w:rsidRPr="00703566">
              <w:rPr>
                <w:rFonts w:ascii="Times New Roman" w:eastAsia="Calibri" w:hAnsi="Times New Roman" w:cs="Times New Roman"/>
                <w:sz w:val="24"/>
                <w:szCs w:val="24"/>
              </w:rPr>
              <w:tab/>
              <w:t xml:space="preserve">          </w:t>
            </w:r>
          </w:p>
          <w:p w14:paraId="12A45F15"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does not know                                          </w:t>
            </w:r>
          </w:p>
          <w:p w14:paraId="46E06ADE"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2</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weight loss between 1 and 3kg                 3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no weight loss                                            </w:t>
            </w:r>
          </w:p>
          <w:p w14:paraId="2A709001" w14:textId="77777777" w:rsidR="00703566" w:rsidRPr="00703566" w:rsidRDefault="00703566" w:rsidP="00703566">
            <w:pPr>
              <w:tabs>
                <w:tab w:val="center" w:pos="5040"/>
              </w:tabs>
              <w:spacing w:line="480" w:lineRule="auto"/>
              <w:contextualSpacing/>
              <w:jc w:val="both"/>
              <w:rPr>
                <w:rFonts w:ascii="Times New Roman" w:eastAsia="Calibri" w:hAnsi="Times New Roman" w:cs="Times New Roman"/>
                <w:sz w:val="24"/>
                <w:szCs w:val="24"/>
              </w:rPr>
            </w:pPr>
          </w:p>
          <w:p w14:paraId="3B514989"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r>
      <w:tr w:rsidR="00703566" w:rsidRPr="00703566" w14:paraId="559F2253" w14:textId="77777777" w:rsidTr="008A6F48">
        <w:tc>
          <w:tcPr>
            <w:tcW w:w="3259" w:type="dxa"/>
          </w:tcPr>
          <w:p w14:paraId="7534196E" w14:textId="77777777" w:rsidR="00703566" w:rsidRPr="00703566" w:rsidRDefault="00703566" w:rsidP="00703566">
            <w:pPr>
              <w:spacing w:line="48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Mobility </w:t>
            </w:r>
          </w:p>
          <w:p w14:paraId="6AC08A91"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7790D562"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bed or chair bound                                             </w:t>
            </w:r>
          </w:p>
          <w:p w14:paraId="0A570259"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1</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chair but does not go out</w:t>
            </w:r>
          </w:p>
          <w:p w14:paraId="4701B99E"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goes out                                                             </w:t>
            </w:r>
          </w:p>
          <w:p w14:paraId="283ABF76"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70CFDC45"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0</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bed or chair bound                                             </w:t>
            </w:r>
          </w:p>
          <w:p w14:paraId="71422B10"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1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chair but does not go out</w:t>
            </w:r>
          </w:p>
          <w:p w14:paraId="127B0983"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goes out                                                             </w:t>
            </w:r>
          </w:p>
          <w:p w14:paraId="1528B471"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r>
      <w:tr w:rsidR="00703566" w:rsidRPr="00703566" w14:paraId="1D36F9F4" w14:textId="77777777" w:rsidTr="008A6F48">
        <w:tc>
          <w:tcPr>
            <w:tcW w:w="3259" w:type="dxa"/>
          </w:tcPr>
          <w:p w14:paraId="54F4AABC" w14:textId="77777777" w:rsidR="00703566" w:rsidRPr="00703566" w:rsidRDefault="00703566" w:rsidP="00703566">
            <w:pPr>
              <w:spacing w:line="48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Has suffered psychological stress or acute disease in past 3 months </w:t>
            </w:r>
          </w:p>
          <w:p w14:paraId="4946CD4E" w14:textId="77777777" w:rsidR="00703566" w:rsidRPr="00703566" w:rsidRDefault="00703566" w:rsidP="00703566">
            <w:pPr>
              <w:spacing w:line="480" w:lineRule="auto"/>
              <w:contextualSpacing/>
              <w:jc w:val="both"/>
              <w:rPr>
                <w:rFonts w:ascii="Times New Roman" w:eastAsia="Calibri" w:hAnsi="Times New Roman" w:cs="Times New Roman"/>
                <w:b/>
                <w:sz w:val="24"/>
                <w:szCs w:val="24"/>
              </w:rPr>
            </w:pPr>
          </w:p>
        </w:tc>
        <w:tc>
          <w:tcPr>
            <w:tcW w:w="2739" w:type="dxa"/>
          </w:tcPr>
          <w:p w14:paraId="3C3F0F77"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proofErr w:type="gramStart"/>
            <w:r w:rsidRPr="00703566">
              <w:rPr>
                <w:rFonts w:ascii="Times New Roman" w:eastAsia="Calibri" w:hAnsi="Times New Roman" w:cs="Times New Roman"/>
                <w:sz w:val="24"/>
                <w:szCs w:val="24"/>
              </w:rPr>
              <w:t>-  yes</w:t>
            </w:r>
            <w:proofErr w:type="gramEnd"/>
            <w:r w:rsidRPr="00703566">
              <w:rPr>
                <w:rFonts w:ascii="Times New Roman" w:eastAsia="Calibri" w:hAnsi="Times New Roman" w:cs="Times New Roman"/>
                <w:sz w:val="24"/>
                <w:szCs w:val="24"/>
              </w:rPr>
              <w:t xml:space="preserve">                                                                                                             </w:t>
            </w:r>
          </w:p>
          <w:p w14:paraId="5A4111CF"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no   </w:t>
            </w:r>
          </w:p>
        </w:tc>
        <w:tc>
          <w:tcPr>
            <w:tcW w:w="2739" w:type="dxa"/>
          </w:tcPr>
          <w:p w14:paraId="0D551A47"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proofErr w:type="gramStart"/>
            <w:r w:rsidRPr="00703566">
              <w:rPr>
                <w:rFonts w:ascii="Times New Roman" w:eastAsia="Calibri" w:hAnsi="Times New Roman" w:cs="Times New Roman"/>
                <w:sz w:val="24"/>
                <w:szCs w:val="24"/>
              </w:rPr>
              <w:t>-  yes</w:t>
            </w:r>
            <w:proofErr w:type="gramEnd"/>
            <w:r w:rsidRPr="00703566">
              <w:rPr>
                <w:rFonts w:ascii="Times New Roman" w:eastAsia="Calibri" w:hAnsi="Times New Roman" w:cs="Times New Roman"/>
                <w:sz w:val="24"/>
                <w:szCs w:val="24"/>
              </w:rPr>
              <w:t xml:space="preserve">                                                                                                             </w:t>
            </w:r>
          </w:p>
          <w:p w14:paraId="14DDD4BC"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no   </w:t>
            </w:r>
          </w:p>
        </w:tc>
      </w:tr>
      <w:tr w:rsidR="00703566" w:rsidRPr="00703566" w14:paraId="00F6D6A0" w14:textId="77777777" w:rsidTr="008A6F48">
        <w:tc>
          <w:tcPr>
            <w:tcW w:w="3259" w:type="dxa"/>
          </w:tcPr>
          <w:p w14:paraId="611FCE52" w14:textId="77777777" w:rsidR="00703566" w:rsidRPr="00703566" w:rsidRDefault="00703566" w:rsidP="00703566">
            <w:pPr>
              <w:spacing w:line="48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lastRenderedPageBreak/>
              <w:t>Neuropsychological problem</w:t>
            </w:r>
          </w:p>
          <w:p w14:paraId="1C3B00F9"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1EA11A7D"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severe depression                                                                              </w:t>
            </w:r>
          </w:p>
          <w:p w14:paraId="2581F292"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1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mild dementia                                                                                      </w:t>
            </w:r>
          </w:p>
          <w:p w14:paraId="0543979F"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no psychological problem                                                                </w:t>
            </w:r>
          </w:p>
          <w:p w14:paraId="0D1C544E"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12DAE7E4"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severe depression                                                                              </w:t>
            </w:r>
          </w:p>
          <w:p w14:paraId="72FEC81A"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1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mild dementia                                                                                      </w:t>
            </w:r>
          </w:p>
          <w:p w14:paraId="334F8914"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no psychological problem                                                                </w:t>
            </w:r>
          </w:p>
          <w:p w14:paraId="0D4A9305"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r>
      <w:tr w:rsidR="00703566" w:rsidRPr="00703566" w14:paraId="65FC7D6A" w14:textId="77777777" w:rsidTr="008A6F48">
        <w:tc>
          <w:tcPr>
            <w:tcW w:w="3259" w:type="dxa"/>
          </w:tcPr>
          <w:p w14:paraId="18946742" w14:textId="77777777" w:rsidR="00703566" w:rsidRPr="00703566" w:rsidRDefault="00703566" w:rsidP="00703566">
            <w:pPr>
              <w:spacing w:line="48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BMI</w:t>
            </w:r>
          </w:p>
        </w:tc>
        <w:tc>
          <w:tcPr>
            <w:tcW w:w="2739" w:type="dxa"/>
          </w:tcPr>
          <w:p w14:paraId="104A0C1F"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less than 19</w:t>
            </w:r>
          </w:p>
          <w:p w14:paraId="03BFC8A3"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1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BMI 19 to less than 21</w:t>
            </w:r>
          </w:p>
          <w:p w14:paraId="6F80B5F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BMI 21 to less than 23</w:t>
            </w:r>
          </w:p>
          <w:p w14:paraId="37D2D03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3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BMI 23 or greater than 23</w:t>
            </w:r>
          </w:p>
          <w:p w14:paraId="2D8B993D"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5F829445"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0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less than 19</w:t>
            </w:r>
          </w:p>
          <w:p w14:paraId="2F7F167A"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1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BMI 19 to less than 21</w:t>
            </w:r>
          </w:p>
          <w:p w14:paraId="398E0004"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2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BMI 21 to less than 23</w:t>
            </w:r>
          </w:p>
          <w:p w14:paraId="17A36E0D"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3 </w:t>
            </w: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 BMI 23 or greater than 23</w:t>
            </w:r>
          </w:p>
          <w:p w14:paraId="73C19EF8"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r>
      <w:tr w:rsidR="00703566" w:rsidRPr="00703566" w14:paraId="5E452CB7" w14:textId="77777777" w:rsidTr="008A6F48">
        <w:tc>
          <w:tcPr>
            <w:tcW w:w="3259" w:type="dxa"/>
          </w:tcPr>
          <w:p w14:paraId="226425F3" w14:textId="77777777" w:rsidR="00703566" w:rsidRPr="00703566" w:rsidRDefault="00703566" w:rsidP="00703566">
            <w:pPr>
              <w:spacing w:line="48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Screening score</w:t>
            </w:r>
          </w:p>
          <w:p w14:paraId="771097F7"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52A2E3E1" w14:textId="77777777" w:rsidR="00703566" w:rsidRPr="00703566" w:rsidRDefault="00703566" w:rsidP="00703566">
            <w:pPr>
              <w:spacing w:line="480" w:lineRule="auto"/>
              <w:jc w:val="both"/>
              <w:rPr>
                <w:rFonts w:ascii="Times New Roman" w:eastAsia="Calibri" w:hAnsi="Times New Roman" w:cs="Times New Roman"/>
                <w:b/>
                <w:sz w:val="24"/>
                <w:szCs w:val="24"/>
              </w:rPr>
            </w:pP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12 – </w:t>
            </w:r>
            <w:proofErr w:type="gramStart"/>
            <w:r w:rsidRPr="00703566">
              <w:rPr>
                <w:rFonts w:ascii="Times New Roman" w:eastAsia="Calibri" w:hAnsi="Times New Roman" w:cs="Times New Roman"/>
                <w:sz w:val="24"/>
                <w:szCs w:val="24"/>
              </w:rPr>
              <w:t>14  (</w:t>
            </w:r>
            <w:proofErr w:type="gramEnd"/>
            <w:r w:rsidRPr="00703566">
              <w:rPr>
                <w:rFonts w:ascii="Times New Roman" w:eastAsia="Calibri" w:hAnsi="Times New Roman" w:cs="Times New Roman"/>
                <w:sz w:val="24"/>
                <w:szCs w:val="24"/>
              </w:rPr>
              <w:t xml:space="preserve">normal nutritional status)                 </w:t>
            </w:r>
          </w:p>
          <w:p w14:paraId="4E0D0009"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8 – 11 (at the risk of malnutrition)                         </w:t>
            </w:r>
          </w:p>
          <w:p w14:paraId="63C7362E"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0   - 7(malnourished)                                                 </w:t>
            </w:r>
          </w:p>
          <w:p w14:paraId="6C76658A"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c>
          <w:tcPr>
            <w:tcW w:w="2739" w:type="dxa"/>
          </w:tcPr>
          <w:p w14:paraId="15224F61" w14:textId="77777777" w:rsidR="00703566" w:rsidRPr="00703566" w:rsidRDefault="00703566" w:rsidP="00703566">
            <w:pPr>
              <w:spacing w:line="480" w:lineRule="auto"/>
              <w:jc w:val="both"/>
              <w:rPr>
                <w:rFonts w:ascii="Times New Roman" w:eastAsia="Calibri" w:hAnsi="Times New Roman" w:cs="Times New Roman"/>
                <w:b/>
                <w:sz w:val="24"/>
                <w:szCs w:val="24"/>
              </w:rPr>
            </w:pP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12 – </w:t>
            </w:r>
            <w:proofErr w:type="gramStart"/>
            <w:r w:rsidRPr="00703566">
              <w:rPr>
                <w:rFonts w:ascii="Times New Roman" w:eastAsia="Calibri" w:hAnsi="Times New Roman" w:cs="Times New Roman"/>
                <w:sz w:val="24"/>
                <w:szCs w:val="24"/>
              </w:rPr>
              <w:t>14  (</w:t>
            </w:r>
            <w:proofErr w:type="gramEnd"/>
            <w:r w:rsidRPr="00703566">
              <w:rPr>
                <w:rFonts w:ascii="Times New Roman" w:eastAsia="Calibri" w:hAnsi="Times New Roman" w:cs="Times New Roman"/>
                <w:sz w:val="24"/>
                <w:szCs w:val="24"/>
              </w:rPr>
              <w:t xml:space="preserve">normal nutritional status)                 </w:t>
            </w:r>
          </w:p>
          <w:p w14:paraId="604BF39C"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8 – 11 (at the risk of malnutrition)                         </w:t>
            </w:r>
          </w:p>
          <w:p w14:paraId="5CCD8A6D" w14:textId="77777777" w:rsidR="00703566" w:rsidRPr="00703566" w:rsidRDefault="00703566" w:rsidP="00703566">
            <w:pPr>
              <w:spacing w:line="48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sym w:font="Wingdings" w:char="F070"/>
            </w:r>
            <w:r w:rsidRPr="00703566">
              <w:rPr>
                <w:rFonts w:ascii="Times New Roman" w:eastAsia="Calibri" w:hAnsi="Times New Roman" w:cs="Times New Roman"/>
                <w:sz w:val="24"/>
                <w:szCs w:val="24"/>
              </w:rPr>
              <w:t xml:space="preserve">   0   - 7(malnourished)                                                 </w:t>
            </w:r>
          </w:p>
          <w:p w14:paraId="544460DF" w14:textId="77777777" w:rsidR="00703566" w:rsidRPr="00703566" w:rsidRDefault="00703566" w:rsidP="00703566">
            <w:pPr>
              <w:spacing w:line="480" w:lineRule="auto"/>
              <w:contextualSpacing/>
              <w:jc w:val="both"/>
              <w:rPr>
                <w:rFonts w:ascii="Times New Roman" w:eastAsia="Calibri" w:hAnsi="Times New Roman" w:cs="Times New Roman"/>
                <w:sz w:val="24"/>
                <w:szCs w:val="24"/>
              </w:rPr>
            </w:pPr>
          </w:p>
        </w:tc>
      </w:tr>
    </w:tbl>
    <w:p w14:paraId="1ED1634A" w14:textId="77777777" w:rsidR="00703566" w:rsidRPr="00703566" w:rsidRDefault="00703566" w:rsidP="00703566">
      <w:pPr>
        <w:spacing w:after="200" w:line="480" w:lineRule="auto"/>
        <w:contextualSpacing/>
        <w:jc w:val="both"/>
        <w:rPr>
          <w:rFonts w:ascii="Times New Roman" w:eastAsia="Calibri" w:hAnsi="Times New Roman" w:cs="Times New Roman"/>
          <w:sz w:val="24"/>
          <w:szCs w:val="24"/>
          <w:lang w:val="en-US"/>
        </w:rPr>
      </w:pPr>
    </w:p>
    <w:p w14:paraId="61DADC8E" w14:textId="77777777" w:rsidR="00703566" w:rsidRPr="00703566" w:rsidRDefault="00703566" w:rsidP="00703566">
      <w:pPr>
        <w:spacing w:after="200" w:line="480" w:lineRule="auto"/>
        <w:contextualSpacing/>
        <w:jc w:val="both"/>
        <w:rPr>
          <w:rFonts w:ascii="Times New Roman" w:eastAsia="Calibri" w:hAnsi="Times New Roman" w:cs="Times New Roman"/>
          <w:sz w:val="24"/>
          <w:szCs w:val="24"/>
          <w:lang w:val="en-US"/>
        </w:rPr>
      </w:pPr>
    </w:p>
    <w:p w14:paraId="244C2927" w14:textId="77777777" w:rsidR="00703566" w:rsidRPr="00703566" w:rsidRDefault="00703566" w:rsidP="00703566">
      <w:pPr>
        <w:spacing w:after="200" w:line="480" w:lineRule="auto"/>
        <w:contextualSpacing/>
        <w:jc w:val="both"/>
        <w:rPr>
          <w:rFonts w:ascii="Times New Roman" w:eastAsia="Calibri" w:hAnsi="Times New Roman" w:cs="Times New Roman"/>
          <w:b/>
          <w:sz w:val="24"/>
          <w:szCs w:val="24"/>
          <w:u w:val="single"/>
          <w:lang w:val="en-US"/>
        </w:rPr>
      </w:pPr>
      <w:proofErr w:type="gramStart"/>
      <w:r w:rsidRPr="00703566">
        <w:rPr>
          <w:rFonts w:ascii="Times New Roman" w:eastAsia="Calibri" w:hAnsi="Times New Roman" w:cs="Times New Roman"/>
          <w:b/>
          <w:sz w:val="24"/>
          <w:szCs w:val="24"/>
          <w:lang w:val="en-US"/>
        </w:rPr>
        <w:t>C .</w:t>
      </w:r>
      <w:proofErr w:type="gramEnd"/>
      <w:r w:rsidRPr="00703566">
        <w:rPr>
          <w:rFonts w:ascii="Times New Roman" w:eastAsia="Calibri" w:hAnsi="Times New Roman" w:cs="Times New Roman"/>
          <w:b/>
          <w:sz w:val="24"/>
          <w:szCs w:val="24"/>
          <w:lang w:val="en-US"/>
        </w:rPr>
        <w:t xml:space="preserve"> </w:t>
      </w:r>
      <w:r w:rsidRPr="00703566">
        <w:rPr>
          <w:rFonts w:ascii="Times New Roman" w:eastAsia="Calibri" w:hAnsi="Times New Roman" w:cs="Times New Roman"/>
          <w:b/>
          <w:sz w:val="24"/>
          <w:szCs w:val="24"/>
          <w:u w:val="single"/>
          <w:lang w:val="en-US"/>
        </w:rPr>
        <w:t>DIETARY INFORMATION</w:t>
      </w:r>
    </w:p>
    <w:p w14:paraId="18D3706C" w14:textId="77777777" w:rsidR="00703566" w:rsidRPr="00703566" w:rsidRDefault="00703566" w:rsidP="00703566">
      <w:pPr>
        <w:spacing w:after="200" w:line="480" w:lineRule="auto"/>
        <w:contextualSpacing/>
        <w:jc w:val="both"/>
        <w:rPr>
          <w:rFonts w:ascii="Times New Roman" w:eastAsia="Calibri" w:hAnsi="Times New Roman" w:cs="Times New Roman"/>
          <w:b/>
          <w:sz w:val="24"/>
          <w:szCs w:val="24"/>
          <w:u w:val="single"/>
          <w:lang w:val="en-US"/>
        </w:rPr>
      </w:pPr>
    </w:p>
    <w:p w14:paraId="028C9C01" w14:textId="77777777" w:rsidR="00703566" w:rsidRPr="00703566" w:rsidRDefault="00703566" w:rsidP="00703566">
      <w:pPr>
        <w:spacing w:after="200" w:line="480" w:lineRule="auto"/>
        <w:contextualSpacing/>
        <w:jc w:val="both"/>
        <w:rPr>
          <w:rFonts w:ascii="Times New Roman" w:eastAsia="Calibri" w:hAnsi="Times New Roman" w:cs="Times New Roman"/>
          <w:b/>
          <w:bCs/>
          <w:sz w:val="24"/>
          <w:szCs w:val="24"/>
          <w:u w:val="single"/>
          <w:lang w:val="en-US"/>
        </w:rPr>
      </w:pPr>
    </w:p>
    <w:p w14:paraId="674991C0" w14:textId="77777777" w:rsidR="00703566" w:rsidRPr="00703566" w:rsidRDefault="00703566" w:rsidP="00703566">
      <w:pPr>
        <w:spacing w:after="200" w:line="480" w:lineRule="auto"/>
        <w:contextualSpacing/>
        <w:jc w:val="both"/>
        <w:rPr>
          <w:rFonts w:ascii="Times New Roman" w:eastAsia="Calibri" w:hAnsi="Times New Roman" w:cs="Times New Roman"/>
          <w:b/>
          <w:bCs/>
          <w:sz w:val="24"/>
          <w:szCs w:val="24"/>
          <w:u w:val="single"/>
          <w:lang w:val="en-US"/>
        </w:rPr>
      </w:pPr>
      <w:r w:rsidRPr="00703566">
        <w:rPr>
          <w:rFonts w:ascii="Times New Roman" w:eastAsia="Calibri" w:hAnsi="Times New Roman" w:cs="Times New Roman"/>
          <w:b/>
          <w:bCs/>
          <w:sz w:val="24"/>
          <w:szCs w:val="24"/>
          <w:u w:val="single"/>
          <w:lang w:val="en-US"/>
        </w:rPr>
        <w:t xml:space="preserve"> Food Frequency Questionnaire</w:t>
      </w:r>
    </w:p>
    <w:p w14:paraId="0C696638" w14:textId="77777777" w:rsidR="00703566" w:rsidRPr="00703566" w:rsidRDefault="00703566" w:rsidP="00703566">
      <w:pPr>
        <w:spacing w:after="200" w:line="480" w:lineRule="auto"/>
        <w:contextualSpacing/>
        <w:jc w:val="both"/>
        <w:rPr>
          <w:rFonts w:ascii="Times New Roman" w:eastAsia="Calibri" w:hAnsi="Times New Roman" w:cs="Times New Roman"/>
          <w:b/>
          <w:bCs/>
          <w:sz w:val="24"/>
          <w:szCs w:val="24"/>
          <w:lang w:val="en-US"/>
        </w:rPr>
      </w:pPr>
    </w:p>
    <w:tbl>
      <w:tblPr>
        <w:tblStyle w:val="TableGrid4"/>
        <w:tblW w:w="10627" w:type="dxa"/>
        <w:jc w:val="center"/>
        <w:tblLayout w:type="fixed"/>
        <w:tblLook w:val="04A0" w:firstRow="1" w:lastRow="0" w:firstColumn="1" w:lastColumn="0" w:noHBand="0" w:noVBand="1"/>
      </w:tblPr>
      <w:tblGrid>
        <w:gridCol w:w="1283"/>
        <w:gridCol w:w="750"/>
        <w:gridCol w:w="883"/>
        <w:gridCol w:w="1048"/>
        <w:gridCol w:w="1092"/>
        <w:gridCol w:w="803"/>
        <w:gridCol w:w="750"/>
        <w:gridCol w:w="1041"/>
        <w:gridCol w:w="1276"/>
        <w:gridCol w:w="850"/>
        <w:gridCol w:w="851"/>
      </w:tblGrid>
      <w:tr w:rsidR="00703566" w:rsidRPr="00703566" w14:paraId="75E07D6B" w14:textId="77777777" w:rsidTr="008A6F48">
        <w:trPr>
          <w:jc w:val="center"/>
        </w:trPr>
        <w:tc>
          <w:tcPr>
            <w:tcW w:w="1283" w:type="dxa"/>
            <w:vMerge w:val="restart"/>
          </w:tcPr>
          <w:p w14:paraId="4283394D" w14:textId="77777777" w:rsidR="00703566" w:rsidRPr="00703566" w:rsidRDefault="00703566" w:rsidP="00703566">
            <w:pPr>
              <w:spacing w:line="360" w:lineRule="auto"/>
              <w:jc w:val="both"/>
              <w:rPr>
                <w:rFonts w:ascii="Times New Roman" w:hAnsi="Times New Roman" w:cs="Times New Roman"/>
                <w:b/>
                <w:bCs/>
                <w:sz w:val="24"/>
                <w:szCs w:val="24"/>
              </w:rPr>
            </w:pPr>
            <w:r w:rsidRPr="00703566">
              <w:rPr>
                <w:rFonts w:ascii="Times New Roman" w:hAnsi="Times New Roman" w:cs="Times New Roman"/>
                <w:b/>
                <w:bCs/>
                <w:sz w:val="24"/>
                <w:szCs w:val="24"/>
              </w:rPr>
              <w:t>Food Groups</w:t>
            </w:r>
          </w:p>
        </w:tc>
        <w:tc>
          <w:tcPr>
            <w:tcW w:w="4576" w:type="dxa"/>
            <w:gridSpan w:val="5"/>
          </w:tcPr>
          <w:p w14:paraId="3F3A1956" w14:textId="77777777" w:rsidR="00703566" w:rsidRPr="00703566" w:rsidRDefault="00703566" w:rsidP="00703566">
            <w:pPr>
              <w:spacing w:line="360" w:lineRule="auto"/>
              <w:jc w:val="center"/>
              <w:rPr>
                <w:rFonts w:ascii="Times New Roman" w:hAnsi="Times New Roman" w:cs="Times New Roman"/>
                <w:b/>
                <w:sz w:val="24"/>
                <w:szCs w:val="24"/>
              </w:rPr>
            </w:pPr>
            <w:r w:rsidRPr="00703566">
              <w:rPr>
                <w:rFonts w:ascii="Times New Roman" w:hAnsi="Times New Roman" w:cs="Times New Roman"/>
                <w:b/>
                <w:sz w:val="24"/>
                <w:szCs w:val="24"/>
              </w:rPr>
              <w:t>Before lockdown</w:t>
            </w:r>
          </w:p>
        </w:tc>
        <w:tc>
          <w:tcPr>
            <w:tcW w:w="4768" w:type="dxa"/>
            <w:gridSpan w:val="5"/>
          </w:tcPr>
          <w:p w14:paraId="32EAD455"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b/>
                <w:sz w:val="24"/>
                <w:szCs w:val="24"/>
              </w:rPr>
              <w:t>During lockdown</w:t>
            </w:r>
          </w:p>
        </w:tc>
      </w:tr>
      <w:tr w:rsidR="00703566" w:rsidRPr="00703566" w14:paraId="3201079A" w14:textId="77777777" w:rsidTr="008A6F48">
        <w:trPr>
          <w:jc w:val="center"/>
        </w:trPr>
        <w:tc>
          <w:tcPr>
            <w:tcW w:w="1283" w:type="dxa"/>
            <w:vMerge/>
          </w:tcPr>
          <w:p w14:paraId="40386915" w14:textId="77777777" w:rsidR="00703566" w:rsidRPr="00703566" w:rsidRDefault="00703566" w:rsidP="00703566">
            <w:pPr>
              <w:spacing w:line="360" w:lineRule="auto"/>
              <w:jc w:val="both"/>
              <w:rPr>
                <w:rFonts w:ascii="Times New Roman" w:hAnsi="Times New Roman" w:cs="Times New Roman"/>
                <w:sz w:val="24"/>
                <w:szCs w:val="24"/>
              </w:rPr>
            </w:pPr>
          </w:p>
        </w:tc>
        <w:tc>
          <w:tcPr>
            <w:tcW w:w="750" w:type="dxa"/>
          </w:tcPr>
          <w:p w14:paraId="4F24242B"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 xml:space="preserve">Daily </w:t>
            </w:r>
          </w:p>
        </w:tc>
        <w:tc>
          <w:tcPr>
            <w:tcW w:w="883" w:type="dxa"/>
          </w:tcPr>
          <w:p w14:paraId="388C61C9"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3-4 times /week</w:t>
            </w:r>
          </w:p>
        </w:tc>
        <w:tc>
          <w:tcPr>
            <w:tcW w:w="1048" w:type="dxa"/>
          </w:tcPr>
          <w:p w14:paraId="7C901F87"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1-2 times/</w:t>
            </w:r>
          </w:p>
          <w:p w14:paraId="40167122"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 xml:space="preserve">week </w:t>
            </w:r>
          </w:p>
        </w:tc>
        <w:tc>
          <w:tcPr>
            <w:tcW w:w="1092" w:type="dxa"/>
          </w:tcPr>
          <w:p w14:paraId="37FEFF31"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Once in a month</w:t>
            </w:r>
          </w:p>
        </w:tc>
        <w:tc>
          <w:tcPr>
            <w:tcW w:w="803" w:type="dxa"/>
          </w:tcPr>
          <w:p w14:paraId="4C90CC79"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 xml:space="preserve">Never </w:t>
            </w:r>
          </w:p>
        </w:tc>
        <w:tc>
          <w:tcPr>
            <w:tcW w:w="750" w:type="dxa"/>
          </w:tcPr>
          <w:p w14:paraId="6A011758"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 xml:space="preserve">Daily </w:t>
            </w:r>
          </w:p>
        </w:tc>
        <w:tc>
          <w:tcPr>
            <w:tcW w:w="1041" w:type="dxa"/>
          </w:tcPr>
          <w:p w14:paraId="46E97F8F"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3-4 times/</w:t>
            </w:r>
          </w:p>
          <w:p w14:paraId="06CF5CB5"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week</w:t>
            </w:r>
          </w:p>
        </w:tc>
        <w:tc>
          <w:tcPr>
            <w:tcW w:w="1276" w:type="dxa"/>
          </w:tcPr>
          <w:p w14:paraId="5C24315E"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1-2 times/</w:t>
            </w:r>
          </w:p>
          <w:p w14:paraId="7386C407"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week</w:t>
            </w:r>
          </w:p>
        </w:tc>
        <w:tc>
          <w:tcPr>
            <w:tcW w:w="850" w:type="dxa"/>
          </w:tcPr>
          <w:p w14:paraId="141B3B6E"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 xml:space="preserve">Once in a month </w:t>
            </w:r>
          </w:p>
        </w:tc>
        <w:tc>
          <w:tcPr>
            <w:tcW w:w="851" w:type="dxa"/>
          </w:tcPr>
          <w:p w14:paraId="73C39A3D" w14:textId="77777777" w:rsidR="00703566" w:rsidRPr="00703566" w:rsidRDefault="00703566" w:rsidP="00703566">
            <w:pPr>
              <w:spacing w:line="360" w:lineRule="auto"/>
              <w:jc w:val="center"/>
              <w:rPr>
                <w:rFonts w:ascii="Times New Roman" w:hAnsi="Times New Roman" w:cs="Times New Roman"/>
                <w:sz w:val="24"/>
                <w:szCs w:val="24"/>
              </w:rPr>
            </w:pPr>
            <w:r w:rsidRPr="00703566">
              <w:rPr>
                <w:rFonts w:ascii="Times New Roman" w:hAnsi="Times New Roman" w:cs="Times New Roman"/>
                <w:sz w:val="24"/>
                <w:szCs w:val="24"/>
              </w:rPr>
              <w:t xml:space="preserve">Never </w:t>
            </w:r>
          </w:p>
        </w:tc>
      </w:tr>
      <w:tr w:rsidR="00703566" w:rsidRPr="00703566" w14:paraId="405000CE" w14:textId="77777777" w:rsidTr="008A6F48">
        <w:trPr>
          <w:jc w:val="center"/>
        </w:trPr>
        <w:tc>
          <w:tcPr>
            <w:tcW w:w="1283" w:type="dxa"/>
          </w:tcPr>
          <w:p w14:paraId="6C8D7915"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Cereals &amp; cereal products</w:t>
            </w:r>
          </w:p>
        </w:tc>
        <w:tc>
          <w:tcPr>
            <w:tcW w:w="750" w:type="dxa"/>
          </w:tcPr>
          <w:p w14:paraId="0A6B082D"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47256F67"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022FA015"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781CFB0D"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0AD80F20"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1DC8EA50"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3FD1AE91"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6A22D0A8"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54ABB105"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59B2ED8C"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604D327C" w14:textId="77777777" w:rsidTr="008A6F48">
        <w:trPr>
          <w:jc w:val="center"/>
        </w:trPr>
        <w:tc>
          <w:tcPr>
            <w:tcW w:w="1283" w:type="dxa"/>
          </w:tcPr>
          <w:p w14:paraId="583BBCB8"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 xml:space="preserve">Pulses </w:t>
            </w:r>
          </w:p>
        </w:tc>
        <w:tc>
          <w:tcPr>
            <w:tcW w:w="750" w:type="dxa"/>
          </w:tcPr>
          <w:p w14:paraId="06C3CF8A"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20FD9BCE"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3C4EE9EE"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3A711CDD"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206D161D"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13F6297C"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65A23071"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1A295A4F"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3F7A5AD2"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53FB0720"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02BD8A8A" w14:textId="77777777" w:rsidTr="008A6F48">
        <w:trPr>
          <w:jc w:val="center"/>
        </w:trPr>
        <w:tc>
          <w:tcPr>
            <w:tcW w:w="1283" w:type="dxa"/>
          </w:tcPr>
          <w:p w14:paraId="0C96B36A"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Vegetables</w:t>
            </w:r>
          </w:p>
        </w:tc>
        <w:tc>
          <w:tcPr>
            <w:tcW w:w="750" w:type="dxa"/>
          </w:tcPr>
          <w:p w14:paraId="0C6DA05C"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64AD9B66"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732F77CF"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7F1445A5"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47C0B81D"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4763FD09"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61EF2D91"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2FB3F1B6"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254CAB62"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0957A765"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00774C5D" w14:textId="77777777" w:rsidTr="008A6F48">
        <w:trPr>
          <w:jc w:val="center"/>
        </w:trPr>
        <w:tc>
          <w:tcPr>
            <w:tcW w:w="1283" w:type="dxa"/>
          </w:tcPr>
          <w:p w14:paraId="3C787021"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Green leafy vegetables</w:t>
            </w:r>
          </w:p>
        </w:tc>
        <w:tc>
          <w:tcPr>
            <w:tcW w:w="750" w:type="dxa"/>
          </w:tcPr>
          <w:p w14:paraId="73726AF8"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077E99CB"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1EDEB13A"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6041C58D"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56449700"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2061C09B"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6126B979"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25A63585"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745FEBA1"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1EDF8829"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0304D94C" w14:textId="77777777" w:rsidTr="008A6F48">
        <w:trPr>
          <w:jc w:val="center"/>
        </w:trPr>
        <w:tc>
          <w:tcPr>
            <w:tcW w:w="1283" w:type="dxa"/>
          </w:tcPr>
          <w:p w14:paraId="7BB9397D"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Fruits</w:t>
            </w:r>
          </w:p>
        </w:tc>
        <w:tc>
          <w:tcPr>
            <w:tcW w:w="750" w:type="dxa"/>
          </w:tcPr>
          <w:p w14:paraId="0BDF68F9"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14CAE184"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463A3C40"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43263F0A"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2D4D29AB"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04444018"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495B8A52"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57D64F11"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53A432DD"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5D403382"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3FC9AB51" w14:textId="77777777" w:rsidTr="008A6F48">
        <w:trPr>
          <w:jc w:val="center"/>
        </w:trPr>
        <w:tc>
          <w:tcPr>
            <w:tcW w:w="1283" w:type="dxa"/>
          </w:tcPr>
          <w:p w14:paraId="6C10EEA1"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Meat</w:t>
            </w:r>
          </w:p>
        </w:tc>
        <w:tc>
          <w:tcPr>
            <w:tcW w:w="750" w:type="dxa"/>
          </w:tcPr>
          <w:p w14:paraId="609F9545"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652E4F81"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3CAD0718"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54F5E787"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78C00EA4"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7AFE994B"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144BCBDC"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3AD862E8"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1A5729A9"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1CE607E5"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161C0E18" w14:textId="77777777" w:rsidTr="008A6F48">
        <w:trPr>
          <w:jc w:val="center"/>
        </w:trPr>
        <w:tc>
          <w:tcPr>
            <w:tcW w:w="1283" w:type="dxa"/>
          </w:tcPr>
          <w:p w14:paraId="36BE1513"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Chicken</w:t>
            </w:r>
          </w:p>
        </w:tc>
        <w:tc>
          <w:tcPr>
            <w:tcW w:w="750" w:type="dxa"/>
          </w:tcPr>
          <w:p w14:paraId="353B3ACB"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3C4B3CC3"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2D66D577"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5D17FACA"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7BFCF8F0"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32E6FC0F"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6260A270"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30449E78"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53803E21"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79DC5E56"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582A8466" w14:textId="77777777" w:rsidTr="008A6F48">
        <w:trPr>
          <w:jc w:val="center"/>
        </w:trPr>
        <w:tc>
          <w:tcPr>
            <w:tcW w:w="1283" w:type="dxa"/>
          </w:tcPr>
          <w:p w14:paraId="4D556424"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Egg</w:t>
            </w:r>
          </w:p>
        </w:tc>
        <w:tc>
          <w:tcPr>
            <w:tcW w:w="750" w:type="dxa"/>
          </w:tcPr>
          <w:p w14:paraId="5FEFA679"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07D2514B"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2A855BDA"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5921771C"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73E360DC"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7507C324"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45D63995"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466BEC8F"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355F0536"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1957CB9A"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1E445B5E" w14:textId="77777777" w:rsidTr="008A6F48">
        <w:trPr>
          <w:jc w:val="center"/>
        </w:trPr>
        <w:tc>
          <w:tcPr>
            <w:tcW w:w="1283" w:type="dxa"/>
          </w:tcPr>
          <w:p w14:paraId="72261265"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Fish</w:t>
            </w:r>
          </w:p>
        </w:tc>
        <w:tc>
          <w:tcPr>
            <w:tcW w:w="750" w:type="dxa"/>
          </w:tcPr>
          <w:p w14:paraId="399CA8A0"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49FDC662"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27B089A6"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3A9D7C4C"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46B64507"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5982FA14"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10C0B79F"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4C5106E2"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5B81E7D0"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21A6FCFE" w14:textId="77777777" w:rsidR="00703566" w:rsidRPr="00703566" w:rsidRDefault="00703566" w:rsidP="00703566">
            <w:pPr>
              <w:spacing w:line="360" w:lineRule="auto"/>
              <w:jc w:val="center"/>
              <w:rPr>
                <w:rFonts w:ascii="Times New Roman" w:hAnsi="Times New Roman" w:cs="Times New Roman"/>
                <w:sz w:val="24"/>
                <w:szCs w:val="24"/>
              </w:rPr>
            </w:pPr>
          </w:p>
        </w:tc>
      </w:tr>
      <w:tr w:rsidR="00703566" w:rsidRPr="00703566" w14:paraId="045A9B71" w14:textId="77777777" w:rsidTr="008A6F48">
        <w:trPr>
          <w:jc w:val="center"/>
        </w:trPr>
        <w:tc>
          <w:tcPr>
            <w:tcW w:w="1283" w:type="dxa"/>
          </w:tcPr>
          <w:p w14:paraId="3F71D660" w14:textId="77777777" w:rsidR="00703566" w:rsidRPr="00703566" w:rsidRDefault="00703566" w:rsidP="00703566">
            <w:pPr>
              <w:spacing w:line="360" w:lineRule="auto"/>
              <w:jc w:val="both"/>
              <w:rPr>
                <w:rFonts w:ascii="Times New Roman" w:hAnsi="Times New Roman" w:cs="Times New Roman"/>
                <w:sz w:val="24"/>
                <w:szCs w:val="24"/>
              </w:rPr>
            </w:pPr>
            <w:r w:rsidRPr="00703566">
              <w:rPr>
                <w:rFonts w:ascii="Times New Roman" w:hAnsi="Times New Roman" w:cs="Times New Roman"/>
                <w:sz w:val="24"/>
                <w:szCs w:val="24"/>
              </w:rPr>
              <w:t>Milk &amp; dairy products</w:t>
            </w:r>
          </w:p>
        </w:tc>
        <w:tc>
          <w:tcPr>
            <w:tcW w:w="750" w:type="dxa"/>
          </w:tcPr>
          <w:p w14:paraId="0D3A07AE" w14:textId="77777777" w:rsidR="00703566" w:rsidRPr="00703566" w:rsidRDefault="00703566" w:rsidP="00703566">
            <w:pPr>
              <w:spacing w:line="360" w:lineRule="auto"/>
              <w:jc w:val="center"/>
              <w:rPr>
                <w:rFonts w:ascii="Times New Roman" w:hAnsi="Times New Roman" w:cs="Times New Roman"/>
                <w:sz w:val="24"/>
                <w:szCs w:val="24"/>
              </w:rPr>
            </w:pPr>
          </w:p>
        </w:tc>
        <w:tc>
          <w:tcPr>
            <w:tcW w:w="883" w:type="dxa"/>
          </w:tcPr>
          <w:p w14:paraId="064559C8" w14:textId="77777777" w:rsidR="00703566" w:rsidRPr="00703566" w:rsidRDefault="00703566" w:rsidP="00703566">
            <w:pPr>
              <w:spacing w:line="360" w:lineRule="auto"/>
              <w:jc w:val="center"/>
              <w:rPr>
                <w:rFonts w:ascii="Times New Roman" w:hAnsi="Times New Roman" w:cs="Times New Roman"/>
                <w:sz w:val="24"/>
                <w:szCs w:val="24"/>
              </w:rPr>
            </w:pPr>
          </w:p>
        </w:tc>
        <w:tc>
          <w:tcPr>
            <w:tcW w:w="1048" w:type="dxa"/>
          </w:tcPr>
          <w:p w14:paraId="2D9210A5" w14:textId="77777777" w:rsidR="00703566" w:rsidRPr="00703566" w:rsidRDefault="00703566" w:rsidP="00703566">
            <w:pPr>
              <w:spacing w:line="360" w:lineRule="auto"/>
              <w:jc w:val="center"/>
              <w:rPr>
                <w:rFonts w:ascii="Times New Roman" w:hAnsi="Times New Roman" w:cs="Times New Roman"/>
                <w:sz w:val="24"/>
                <w:szCs w:val="24"/>
              </w:rPr>
            </w:pPr>
          </w:p>
        </w:tc>
        <w:tc>
          <w:tcPr>
            <w:tcW w:w="1092" w:type="dxa"/>
          </w:tcPr>
          <w:p w14:paraId="57954C40" w14:textId="77777777" w:rsidR="00703566" w:rsidRPr="00703566" w:rsidRDefault="00703566" w:rsidP="00703566">
            <w:pPr>
              <w:spacing w:line="360" w:lineRule="auto"/>
              <w:jc w:val="center"/>
              <w:rPr>
                <w:rFonts w:ascii="Times New Roman" w:hAnsi="Times New Roman" w:cs="Times New Roman"/>
                <w:sz w:val="24"/>
                <w:szCs w:val="24"/>
              </w:rPr>
            </w:pPr>
          </w:p>
        </w:tc>
        <w:tc>
          <w:tcPr>
            <w:tcW w:w="803" w:type="dxa"/>
          </w:tcPr>
          <w:p w14:paraId="159B29F0" w14:textId="77777777" w:rsidR="00703566" w:rsidRPr="00703566" w:rsidRDefault="00703566" w:rsidP="00703566">
            <w:pPr>
              <w:spacing w:line="360" w:lineRule="auto"/>
              <w:jc w:val="center"/>
              <w:rPr>
                <w:rFonts w:ascii="Times New Roman" w:hAnsi="Times New Roman" w:cs="Times New Roman"/>
                <w:sz w:val="24"/>
                <w:szCs w:val="24"/>
              </w:rPr>
            </w:pPr>
          </w:p>
        </w:tc>
        <w:tc>
          <w:tcPr>
            <w:tcW w:w="750" w:type="dxa"/>
          </w:tcPr>
          <w:p w14:paraId="7CA4AB3C" w14:textId="77777777" w:rsidR="00703566" w:rsidRPr="00703566" w:rsidRDefault="00703566" w:rsidP="00703566">
            <w:pPr>
              <w:spacing w:line="360" w:lineRule="auto"/>
              <w:jc w:val="center"/>
              <w:rPr>
                <w:rFonts w:ascii="Times New Roman" w:hAnsi="Times New Roman" w:cs="Times New Roman"/>
                <w:sz w:val="24"/>
                <w:szCs w:val="24"/>
              </w:rPr>
            </w:pPr>
          </w:p>
        </w:tc>
        <w:tc>
          <w:tcPr>
            <w:tcW w:w="1041" w:type="dxa"/>
          </w:tcPr>
          <w:p w14:paraId="544A0ED6" w14:textId="77777777" w:rsidR="00703566" w:rsidRPr="00703566" w:rsidRDefault="00703566" w:rsidP="00703566">
            <w:pPr>
              <w:spacing w:line="360" w:lineRule="auto"/>
              <w:jc w:val="center"/>
              <w:rPr>
                <w:rFonts w:ascii="Times New Roman" w:hAnsi="Times New Roman" w:cs="Times New Roman"/>
                <w:sz w:val="24"/>
                <w:szCs w:val="24"/>
              </w:rPr>
            </w:pPr>
          </w:p>
        </w:tc>
        <w:tc>
          <w:tcPr>
            <w:tcW w:w="1276" w:type="dxa"/>
          </w:tcPr>
          <w:p w14:paraId="38281344" w14:textId="77777777" w:rsidR="00703566" w:rsidRPr="00703566" w:rsidRDefault="00703566" w:rsidP="00703566">
            <w:pPr>
              <w:spacing w:line="360" w:lineRule="auto"/>
              <w:jc w:val="center"/>
              <w:rPr>
                <w:rFonts w:ascii="Times New Roman" w:hAnsi="Times New Roman" w:cs="Times New Roman"/>
                <w:sz w:val="24"/>
                <w:szCs w:val="24"/>
              </w:rPr>
            </w:pPr>
          </w:p>
        </w:tc>
        <w:tc>
          <w:tcPr>
            <w:tcW w:w="850" w:type="dxa"/>
          </w:tcPr>
          <w:p w14:paraId="7477E447" w14:textId="77777777" w:rsidR="00703566" w:rsidRPr="00703566" w:rsidRDefault="00703566" w:rsidP="00703566">
            <w:pPr>
              <w:spacing w:line="360" w:lineRule="auto"/>
              <w:jc w:val="center"/>
              <w:rPr>
                <w:rFonts w:ascii="Times New Roman" w:hAnsi="Times New Roman" w:cs="Times New Roman"/>
                <w:sz w:val="24"/>
                <w:szCs w:val="24"/>
              </w:rPr>
            </w:pPr>
          </w:p>
        </w:tc>
        <w:tc>
          <w:tcPr>
            <w:tcW w:w="851" w:type="dxa"/>
          </w:tcPr>
          <w:p w14:paraId="367D6A0F" w14:textId="77777777" w:rsidR="00703566" w:rsidRPr="00703566" w:rsidRDefault="00703566" w:rsidP="00703566">
            <w:pPr>
              <w:spacing w:line="360" w:lineRule="auto"/>
              <w:jc w:val="center"/>
              <w:rPr>
                <w:rFonts w:ascii="Times New Roman" w:hAnsi="Times New Roman" w:cs="Times New Roman"/>
                <w:sz w:val="24"/>
                <w:szCs w:val="24"/>
              </w:rPr>
            </w:pPr>
          </w:p>
        </w:tc>
      </w:tr>
    </w:tbl>
    <w:p w14:paraId="2309F74C" w14:textId="77777777" w:rsidR="00703566" w:rsidRPr="00703566" w:rsidRDefault="00703566" w:rsidP="00703566">
      <w:pPr>
        <w:spacing w:after="200" w:line="480" w:lineRule="auto"/>
        <w:contextualSpacing/>
        <w:jc w:val="both"/>
        <w:rPr>
          <w:rFonts w:ascii="Times New Roman" w:eastAsia="Calibri" w:hAnsi="Times New Roman" w:cs="Times New Roman"/>
          <w:b/>
          <w:bCs/>
          <w:sz w:val="24"/>
          <w:szCs w:val="24"/>
          <w:lang w:val="en-US"/>
        </w:rPr>
      </w:pPr>
    </w:p>
    <w:p w14:paraId="5060EFC2" w14:textId="77777777" w:rsidR="00703566" w:rsidRPr="00703566" w:rsidRDefault="00703566" w:rsidP="00703566">
      <w:pPr>
        <w:spacing w:after="200" w:line="480" w:lineRule="auto"/>
        <w:ind w:left="1440"/>
        <w:contextualSpacing/>
        <w:jc w:val="both"/>
        <w:rPr>
          <w:rFonts w:ascii="Times New Roman" w:eastAsia="Calibri" w:hAnsi="Times New Roman" w:cs="Times New Roman"/>
          <w:sz w:val="24"/>
          <w:szCs w:val="24"/>
          <w:lang w:val="en-US"/>
        </w:rPr>
      </w:pPr>
    </w:p>
    <w:p w14:paraId="31DAB474" w14:textId="77777777" w:rsidR="00703566" w:rsidRPr="00703566" w:rsidRDefault="00703566" w:rsidP="00703566">
      <w:pPr>
        <w:spacing w:after="200" w:line="480" w:lineRule="auto"/>
        <w:ind w:left="1440"/>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     </w:t>
      </w:r>
      <w:r w:rsidRPr="00703566">
        <w:rPr>
          <w:rFonts w:ascii="Times New Roman" w:eastAsia="Calibri" w:hAnsi="Times New Roman" w:cs="Times New Roman"/>
          <w:b/>
          <w:sz w:val="24"/>
          <w:szCs w:val="24"/>
          <w:u w:val="single"/>
          <w:lang w:val="en-US"/>
        </w:rPr>
        <w:t>CNAQ and SNAQ (Tool for assessing appetite)</w:t>
      </w:r>
    </w:p>
    <w:tbl>
      <w:tblPr>
        <w:tblStyle w:val="TableGrid31"/>
        <w:tblW w:w="0" w:type="auto"/>
        <w:jc w:val="center"/>
        <w:tblLook w:val="04A0" w:firstRow="1" w:lastRow="0" w:firstColumn="1" w:lastColumn="0" w:noHBand="0" w:noVBand="1"/>
      </w:tblPr>
      <w:tblGrid>
        <w:gridCol w:w="4508"/>
        <w:gridCol w:w="4508"/>
      </w:tblGrid>
      <w:tr w:rsidR="00703566" w:rsidRPr="00703566" w14:paraId="5273D2C8" w14:textId="77777777" w:rsidTr="008A6F48">
        <w:trPr>
          <w:jc w:val="center"/>
        </w:trPr>
        <w:tc>
          <w:tcPr>
            <w:tcW w:w="5508" w:type="dxa"/>
          </w:tcPr>
          <w:p w14:paraId="2E498ADA" w14:textId="77777777" w:rsidR="00703566" w:rsidRPr="00703566" w:rsidRDefault="00703566" w:rsidP="00703566">
            <w:pPr>
              <w:spacing w:line="360" w:lineRule="auto"/>
              <w:jc w:val="both"/>
              <w:rPr>
                <w:rFonts w:ascii="Times New Roman" w:eastAsia="Calibri" w:hAnsi="Times New Roman" w:cs="Times New Roman"/>
                <w:sz w:val="24"/>
                <w:szCs w:val="24"/>
                <w:u w:val="single"/>
              </w:rPr>
            </w:pPr>
            <w:r w:rsidRPr="00703566">
              <w:rPr>
                <w:rFonts w:ascii="Times New Roman" w:eastAsia="Calibri" w:hAnsi="Times New Roman" w:cs="Times New Roman"/>
                <w:sz w:val="24"/>
                <w:szCs w:val="24"/>
              </w:rPr>
              <w:t>During</w:t>
            </w:r>
            <w:r w:rsidRPr="00703566">
              <w:rPr>
                <w:rFonts w:ascii="Times New Roman" w:eastAsia="Calibri" w:hAnsi="Times New Roman" w:cs="Times New Roman"/>
                <w:sz w:val="24"/>
                <w:szCs w:val="24"/>
                <w:u w:val="single"/>
              </w:rPr>
              <w:t xml:space="preserve"> </w:t>
            </w:r>
            <w:r w:rsidRPr="00703566">
              <w:rPr>
                <w:rFonts w:ascii="Times New Roman" w:eastAsia="Calibri" w:hAnsi="Times New Roman" w:cs="Times New Roman"/>
                <w:sz w:val="24"/>
                <w:szCs w:val="24"/>
              </w:rPr>
              <w:t>COVID</w:t>
            </w:r>
            <w:r w:rsidRPr="00703566">
              <w:rPr>
                <w:rFonts w:ascii="Times New Roman" w:eastAsia="Calibri" w:hAnsi="Times New Roman" w:cs="Times New Roman"/>
                <w:sz w:val="24"/>
                <w:szCs w:val="24"/>
                <w:u w:val="single"/>
              </w:rPr>
              <w:t>-</w:t>
            </w:r>
            <w:r w:rsidRPr="00703566">
              <w:rPr>
                <w:rFonts w:ascii="Times New Roman" w:eastAsia="Calibri" w:hAnsi="Times New Roman" w:cs="Times New Roman"/>
                <w:sz w:val="24"/>
                <w:szCs w:val="24"/>
              </w:rPr>
              <w:t>19</w:t>
            </w:r>
          </w:p>
        </w:tc>
        <w:tc>
          <w:tcPr>
            <w:tcW w:w="5508" w:type="dxa"/>
          </w:tcPr>
          <w:p w14:paraId="56609653"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After covid 19</w:t>
            </w:r>
          </w:p>
        </w:tc>
      </w:tr>
      <w:tr w:rsidR="00703566" w:rsidRPr="00703566" w14:paraId="42A58B04" w14:textId="77777777" w:rsidTr="008A6F48">
        <w:trPr>
          <w:jc w:val="center"/>
        </w:trPr>
        <w:tc>
          <w:tcPr>
            <w:tcW w:w="5508" w:type="dxa"/>
          </w:tcPr>
          <w:p w14:paraId="406A1A53"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My appetite is**</w:t>
            </w:r>
          </w:p>
          <w:p w14:paraId="4180A98F" w14:textId="77777777" w:rsidR="00703566" w:rsidRPr="00703566" w:rsidRDefault="00703566" w:rsidP="00703566">
            <w:pPr>
              <w:numPr>
                <w:ilvl w:val="0"/>
                <w:numId w:val="1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Very poor</w:t>
            </w:r>
          </w:p>
          <w:p w14:paraId="7FF5B0C2" w14:textId="77777777" w:rsidR="00703566" w:rsidRPr="00703566" w:rsidRDefault="00703566" w:rsidP="00703566">
            <w:pPr>
              <w:numPr>
                <w:ilvl w:val="0"/>
                <w:numId w:val="1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Poor</w:t>
            </w:r>
          </w:p>
          <w:p w14:paraId="0F8AEC34" w14:textId="77777777" w:rsidR="00703566" w:rsidRPr="00703566" w:rsidRDefault="00703566" w:rsidP="00703566">
            <w:pPr>
              <w:numPr>
                <w:ilvl w:val="0"/>
                <w:numId w:val="1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Average </w:t>
            </w:r>
          </w:p>
          <w:p w14:paraId="5F9445C1" w14:textId="77777777" w:rsidR="00703566" w:rsidRPr="00703566" w:rsidRDefault="00703566" w:rsidP="00703566">
            <w:pPr>
              <w:numPr>
                <w:ilvl w:val="0"/>
                <w:numId w:val="1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Good </w:t>
            </w:r>
          </w:p>
          <w:p w14:paraId="5644E629" w14:textId="77777777" w:rsidR="00703566" w:rsidRPr="00703566" w:rsidRDefault="00703566" w:rsidP="00703566">
            <w:pPr>
              <w:numPr>
                <w:ilvl w:val="0"/>
                <w:numId w:val="1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Very good</w:t>
            </w:r>
          </w:p>
        </w:tc>
        <w:tc>
          <w:tcPr>
            <w:tcW w:w="5508" w:type="dxa"/>
          </w:tcPr>
          <w:p w14:paraId="2C3EA610"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My appetite is**</w:t>
            </w:r>
          </w:p>
          <w:p w14:paraId="7A756E41" w14:textId="77777777" w:rsidR="00703566" w:rsidRPr="00703566" w:rsidRDefault="00703566" w:rsidP="00703566">
            <w:pPr>
              <w:numPr>
                <w:ilvl w:val="0"/>
                <w:numId w:val="14"/>
              </w:numPr>
              <w:spacing w:after="200"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Very poor</w:t>
            </w:r>
          </w:p>
          <w:p w14:paraId="0613A788" w14:textId="77777777" w:rsidR="00703566" w:rsidRPr="00703566" w:rsidRDefault="00703566" w:rsidP="00703566">
            <w:pPr>
              <w:numPr>
                <w:ilvl w:val="0"/>
                <w:numId w:val="14"/>
              </w:numPr>
              <w:spacing w:after="200"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Poor</w:t>
            </w:r>
          </w:p>
          <w:p w14:paraId="3B0EBFE2" w14:textId="77777777" w:rsidR="00703566" w:rsidRPr="00703566" w:rsidRDefault="00703566" w:rsidP="00703566">
            <w:pPr>
              <w:numPr>
                <w:ilvl w:val="0"/>
                <w:numId w:val="14"/>
              </w:numPr>
              <w:spacing w:after="200"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Average </w:t>
            </w:r>
          </w:p>
          <w:p w14:paraId="3FE412C6" w14:textId="77777777" w:rsidR="00703566" w:rsidRPr="00703566" w:rsidRDefault="00703566" w:rsidP="00703566">
            <w:pPr>
              <w:numPr>
                <w:ilvl w:val="0"/>
                <w:numId w:val="14"/>
              </w:numPr>
              <w:spacing w:after="200"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Good </w:t>
            </w:r>
          </w:p>
          <w:p w14:paraId="2BB10F52" w14:textId="77777777" w:rsidR="00703566" w:rsidRPr="00703566" w:rsidRDefault="00703566" w:rsidP="00703566">
            <w:pPr>
              <w:numPr>
                <w:ilvl w:val="0"/>
                <w:numId w:val="14"/>
              </w:numPr>
              <w:spacing w:after="200"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Very good</w:t>
            </w:r>
          </w:p>
        </w:tc>
      </w:tr>
      <w:tr w:rsidR="00703566" w:rsidRPr="00703566" w14:paraId="1ECE1621" w14:textId="77777777" w:rsidTr="008A6F48">
        <w:trPr>
          <w:jc w:val="center"/>
        </w:trPr>
        <w:tc>
          <w:tcPr>
            <w:tcW w:w="5508" w:type="dxa"/>
          </w:tcPr>
          <w:p w14:paraId="63D2E434"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lastRenderedPageBreak/>
              <w:t>When I eat**</w:t>
            </w:r>
          </w:p>
          <w:p w14:paraId="2C89913C" w14:textId="77777777" w:rsidR="00703566" w:rsidRPr="00703566" w:rsidRDefault="00703566" w:rsidP="00703566">
            <w:pPr>
              <w:numPr>
                <w:ilvl w:val="0"/>
                <w:numId w:val="1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I feel full after eating only a few mouthfuls</w:t>
            </w:r>
          </w:p>
          <w:p w14:paraId="34956551" w14:textId="77777777" w:rsidR="00703566" w:rsidRPr="00703566" w:rsidRDefault="00703566" w:rsidP="00703566">
            <w:pPr>
              <w:numPr>
                <w:ilvl w:val="0"/>
                <w:numId w:val="1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I feel full after eating about third of the meal </w:t>
            </w:r>
          </w:p>
          <w:p w14:paraId="625CA8F1" w14:textId="77777777" w:rsidR="00703566" w:rsidRPr="00703566" w:rsidRDefault="00703566" w:rsidP="00703566">
            <w:pPr>
              <w:numPr>
                <w:ilvl w:val="0"/>
                <w:numId w:val="1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I feel full after eating over half of the meal</w:t>
            </w:r>
          </w:p>
          <w:p w14:paraId="17CA218F" w14:textId="77777777" w:rsidR="00703566" w:rsidRPr="00703566" w:rsidRDefault="00703566" w:rsidP="00703566">
            <w:pPr>
              <w:numPr>
                <w:ilvl w:val="0"/>
                <w:numId w:val="1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I feel full after eating most of the meal</w:t>
            </w:r>
          </w:p>
          <w:p w14:paraId="40763607" w14:textId="77777777" w:rsidR="00703566" w:rsidRPr="00703566" w:rsidRDefault="00703566" w:rsidP="00703566">
            <w:pPr>
              <w:numPr>
                <w:ilvl w:val="0"/>
                <w:numId w:val="1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I hardly ever feel full  </w:t>
            </w:r>
          </w:p>
        </w:tc>
        <w:tc>
          <w:tcPr>
            <w:tcW w:w="5508" w:type="dxa"/>
          </w:tcPr>
          <w:p w14:paraId="12038489"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When I eat**</w:t>
            </w:r>
          </w:p>
          <w:p w14:paraId="2C003504" w14:textId="77777777" w:rsidR="00703566" w:rsidRPr="00703566" w:rsidRDefault="00703566" w:rsidP="00703566">
            <w:pPr>
              <w:numPr>
                <w:ilvl w:val="6"/>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I feel full after eating only a few mouthfuls</w:t>
            </w:r>
          </w:p>
          <w:p w14:paraId="1EFEAB9A" w14:textId="77777777" w:rsidR="00703566" w:rsidRPr="00703566" w:rsidRDefault="00703566" w:rsidP="00703566">
            <w:pPr>
              <w:numPr>
                <w:ilvl w:val="0"/>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I feel full after eating about third of the meal </w:t>
            </w:r>
          </w:p>
          <w:p w14:paraId="2B0A01EC" w14:textId="77777777" w:rsidR="00703566" w:rsidRPr="00703566" w:rsidRDefault="00703566" w:rsidP="00703566">
            <w:pPr>
              <w:numPr>
                <w:ilvl w:val="0"/>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I feel full after eating over half of the meal</w:t>
            </w:r>
          </w:p>
          <w:p w14:paraId="39F87F72" w14:textId="77777777" w:rsidR="00703566" w:rsidRPr="00703566" w:rsidRDefault="00703566" w:rsidP="00703566">
            <w:pPr>
              <w:numPr>
                <w:ilvl w:val="0"/>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I feel full after eating most of the meal</w:t>
            </w:r>
          </w:p>
          <w:p w14:paraId="0D3E018C" w14:textId="77777777" w:rsidR="00703566" w:rsidRPr="00703566" w:rsidRDefault="00703566" w:rsidP="00703566">
            <w:pPr>
              <w:numPr>
                <w:ilvl w:val="0"/>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I hardly ever feel full  </w:t>
            </w:r>
          </w:p>
        </w:tc>
      </w:tr>
      <w:tr w:rsidR="00703566" w:rsidRPr="00703566" w14:paraId="195E98A4" w14:textId="77777777" w:rsidTr="008A6F48">
        <w:trPr>
          <w:jc w:val="center"/>
        </w:trPr>
        <w:tc>
          <w:tcPr>
            <w:tcW w:w="5508" w:type="dxa"/>
          </w:tcPr>
          <w:p w14:paraId="6333A14A"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I feel hungry </w:t>
            </w:r>
          </w:p>
          <w:p w14:paraId="4EBF81A7" w14:textId="77777777" w:rsidR="00703566" w:rsidRPr="00703566" w:rsidRDefault="00703566" w:rsidP="00703566">
            <w:pPr>
              <w:numPr>
                <w:ilvl w:val="0"/>
                <w:numId w:val="16"/>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Rarely </w:t>
            </w:r>
          </w:p>
          <w:p w14:paraId="23DDC17B" w14:textId="77777777" w:rsidR="00703566" w:rsidRPr="00703566" w:rsidRDefault="00703566" w:rsidP="00703566">
            <w:pPr>
              <w:numPr>
                <w:ilvl w:val="0"/>
                <w:numId w:val="16"/>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Occasionally </w:t>
            </w:r>
          </w:p>
          <w:p w14:paraId="0D544F0C" w14:textId="77777777" w:rsidR="00703566" w:rsidRPr="00703566" w:rsidRDefault="00703566" w:rsidP="00703566">
            <w:pPr>
              <w:numPr>
                <w:ilvl w:val="0"/>
                <w:numId w:val="16"/>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Some of the time</w:t>
            </w:r>
          </w:p>
          <w:p w14:paraId="76693E25" w14:textId="77777777" w:rsidR="00703566" w:rsidRPr="00703566" w:rsidRDefault="00703566" w:rsidP="00703566">
            <w:pPr>
              <w:numPr>
                <w:ilvl w:val="0"/>
                <w:numId w:val="16"/>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Most of the time </w:t>
            </w:r>
          </w:p>
          <w:p w14:paraId="3E8219E3" w14:textId="77777777" w:rsidR="00703566" w:rsidRPr="00703566" w:rsidRDefault="00703566" w:rsidP="00703566">
            <w:pPr>
              <w:numPr>
                <w:ilvl w:val="0"/>
                <w:numId w:val="16"/>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All of the time</w:t>
            </w:r>
          </w:p>
        </w:tc>
        <w:tc>
          <w:tcPr>
            <w:tcW w:w="5508" w:type="dxa"/>
          </w:tcPr>
          <w:p w14:paraId="2027EA77"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I feel hungry </w:t>
            </w:r>
          </w:p>
          <w:p w14:paraId="365A9845" w14:textId="77777777" w:rsidR="00703566" w:rsidRPr="00703566" w:rsidRDefault="00703566" w:rsidP="00703566">
            <w:pPr>
              <w:numPr>
                <w:ilvl w:val="6"/>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Rarely </w:t>
            </w:r>
          </w:p>
          <w:p w14:paraId="4C905C04" w14:textId="77777777" w:rsidR="00703566" w:rsidRPr="00703566" w:rsidRDefault="00703566" w:rsidP="00703566">
            <w:pPr>
              <w:numPr>
                <w:ilvl w:val="6"/>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Occasionally </w:t>
            </w:r>
          </w:p>
          <w:p w14:paraId="5926F432" w14:textId="77777777" w:rsidR="00703566" w:rsidRPr="00703566" w:rsidRDefault="00703566" w:rsidP="00703566">
            <w:pPr>
              <w:numPr>
                <w:ilvl w:val="6"/>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Some of the time</w:t>
            </w:r>
          </w:p>
          <w:p w14:paraId="46730DD6" w14:textId="77777777" w:rsidR="00703566" w:rsidRPr="00703566" w:rsidRDefault="00703566" w:rsidP="00703566">
            <w:pPr>
              <w:numPr>
                <w:ilvl w:val="6"/>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Most of the time </w:t>
            </w:r>
          </w:p>
          <w:p w14:paraId="46E6A541" w14:textId="77777777" w:rsidR="00703566" w:rsidRPr="00703566" w:rsidRDefault="00703566" w:rsidP="00703566">
            <w:pPr>
              <w:numPr>
                <w:ilvl w:val="6"/>
                <w:numId w:val="1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All of the time</w:t>
            </w:r>
          </w:p>
        </w:tc>
      </w:tr>
      <w:tr w:rsidR="00703566" w:rsidRPr="00703566" w14:paraId="586CA1BB" w14:textId="77777777" w:rsidTr="008A6F48">
        <w:trPr>
          <w:jc w:val="center"/>
        </w:trPr>
        <w:tc>
          <w:tcPr>
            <w:tcW w:w="5508" w:type="dxa"/>
          </w:tcPr>
          <w:p w14:paraId="5D127FE0"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Food tastes **</w:t>
            </w:r>
          </w:p>
          <w:p w14:paraId="29C0AC56" w14:textId="77777777" w:rsidR="00703566" w:rsidRPr="00703566" w:rsidRDefault="00703566" w:rsidP="00703566">
            <w:pPr>
              <w:numPr>
                <w:ilvl w:val="0"/>
                <w:numId w:val="17"/>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Very bad </w:t>
            </w:r>
          </w:p>
          <w:p w14:paraId="5FA031A9" w14:textId="77777777" w:rsidR="00703566" w:rsidRPr="00703566" w:rsidRDefault="00703566" w:rsidP="00703566">
            <w:pPr>
              <w:numPr>
                <w:ilvl w:val="0"/>
                <w:numId w:val="17"/>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Bad</w:t>
            </w:r>
          </w:p>
          <w:p w14:paraId="1F9E191B" w14:textId="77777777" w:rsidR="00703566" w:rsidRPr="00703566" w:rsidRDefault="00703566" w:rsidP="00703566">
            <w:pPr>
              <w:numPr>
                <w:ilvl w:val="0"/>
                <w:numId w:val="17"/>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Average </w:t>
            </w:r>
          </w:p>
          <w:p w14:paraId="0F35EC31" w14:textId="77777777" w:rsidR="00703566" w:rsidRPr="00703566" w:rsidRDefault="00703566" w:rsidP="00703566">
            <w:pPr>
              <w:numPr>
                <w:ilvl w:val="0"/>
                <w:numId w:val="17"/>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Good </w:t>
            </w:r>
          </w:p>
          <w:p w14:paraId="22B2BCF0" w14:textId="77777777" w:rsidR="00703566" w:rsidRPr="00703566" w:rsidRDefault="00703566" w:rsidP="00703566">
            <w:pPr>
              <w:numPr>
                <w:ilvl w:val="0"/>
                <w:numId w:val="17"/>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Very good </w:t>
            </w:r>
          </w:p>
        </w:tc>
        <w:tc>
          <w:tcPr>
            <w:tcW w:w="5508" w:type="dxa"/>
          </w:tcPr>
          <w:p w14:paraId="3E071250"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Food tastes **</w:t>
            </w:r>
          </w:p>
          <w:p w14:paraId="305659B6" w14:textId="77777777" w:rsidR="00703566" w:rsidRPr="00703566" w:rsidRDefault="00703566" w:rsidP="00703566">
            <w:pPr>
              <w:numPr>
                <w:ilvl w:val="6"/>
                <w:numId w:val="1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Very bad </w:t>
            </w:r>
          </w:p>
          <w:p w14:paraId="7BBC5C00" w14:textId="77777777" w:rsidR="00703566" w:rsidRPr="00703566" w:rsidRDefault="00703566" w:rsidP="00703566">
            <w:pPr>
              <w:numPr>
                <w:ilvl w:val="6"/>
                <w:numId w:val="1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Bad</w:t>
            </w:r>
          </w:p>
          <w:p w14:paraId="042277BF" w14:textId="77777777" w:rsidR="00703566" w:rsidRPr="00703566" w:rsidRDefault="00703566" w:rsidP="00703566">
            <w:pPr>
              <w:numPr>
                <w:ilvl w:val="6"/>
                <w:numId w:val="1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Average </w:t>
            </w:r>
          </w:p>
          <w:p w14:paraId="395884B9" w14:textId="77777777" w:rsidR="00703566" w:rsidRPr="00703566" w:rsidRDefault="00703566" w:rsidP="00703566">
            <w:pPr>
              <w:numPr>
                <w:ilvl w:val="6"/>
                <w:numId w:val="1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Good </w:t>
            </w:r>
          </w:p>
          <w:p w14:paraId="13E878BD" w14:textId="77777777" w:rsidR="00703566" w:rsidRPr="00703566" w:rsidRDefault="00703566" w:rsidP="00703566">
            <w:pPr>
              <w:numPr>
                <w:ilvl w:val="6"/>
                <w:numId w:val="1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Very good </w:t>
            </w:r>
          </w:p>
        </w:tc>
      </w:tr>
      <w:tr w:rsidR="00703566" w:rsidRPr="00703566" w14:paraId="6253CACE" w14:textId="77777777" w:rsidTr="008A6F48">
        <w:trPr>
          <w:jc w:val="center"/>
        </w:trPr>
        <w:tc>
          <w:tcPr>
            <w:tcW w:w="5508" w:type="dxa"/>
          </w:tcPr>
          <w:p w14:paraId="5A85702E"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Compared to when I was younger, food tastes</w:t>
            </w:r>
          </w:p>
          <w:p w14:paraId="4C2D681B" w14:textId="77777777" w:rsidR="00703566" w:rsidRPr="00703566" w:rsidRDefault="00703566" w:rsidP="00703566">
            <w:pPr>
              <w:numPr>
                <w:ilvl w:val="0"/>
                <w:numId w:val="18"/>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Much worse </w:t>
            </w:r>
          </w:p>
          <w:p w14:paraId="04FFB405" w14:textId="77777777" w:rsidR="00703566" w:rsidRPr="00703566" w:rsidRDefault="00703566" w:rsidP="00703566">
            <w:pPr>
              <w:numPr>
                <w:ilvl w:val="0"/>
                <w:numId w:val="18"/>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Worse </w:t>
            </w:r>
          </w:p>
          <w:p w14:paraId="60A9DFFB" w14:textId="77777777" w:rsidR="00703566" w:rsidRPr="00703566" w:rsidRDefault="00703566" w:rsidP="00703566">
            <w:pPr>
              <w:numPr>
                <w:ilvl w:val="0"/>
                <w:numId w:val="18"/>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Just as good </w:t>
            </w:r>
          </w:p>
          <w:p w14:paraId="70029AEA" w14:textId="77777777" w:rsidR="00703566" w:rsidRPr="00703566" w:rsidRDefault="00703566" w:rsidP="00703566">
            <w:pPr>
              <w:numPr>
                <w:ilvl w:val="0"/>
                <w:numId w:val="18"/>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Better </w:t>
            </w:r>
          </w:p>
          <w:p w14:paraId="2EFDF114" w14:textId="77777777" w:rsidR="00703566" w:rsidRPr="00703566" w:rsidRDefault="00703566" w:rsidP="00703566">
            <w:pPr>
              <w:numPr>
                <w:ilvl w:val="0"/>
                <w:numId w:val="18"/>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Much better </w:t>
            </w:r>
          </w:p>
        </w:tc>
        <w:tc>
          <w:tcPr>
            <w:tcW w:w="5508" w:type="dxa"/>
          </w:tcPr>
          <w:p w14:paraId="5F165FA9"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Compared to when I was younger, food tastes</w:t>
            </w:r>
          </w:p>
          <w:p w14:paraId="7860B699" w14:textId="77777777" w:rsidR="00703566" w:rsidRPr="00703566" w:rsidRDefault="00703566" w:rsidP="00703566">
            <w:pPr>
              <w:numPr>
                <w:ilvl w:val="0"/>
                <w:numId w:val="22"/>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Much worse </w:t>
            </w:r>
          </w:p>
          <w:p w14:paraId="314A147A" w14:textId="77777777" w:rsidR="00703566" w:rsidRPr="00703566" w:rsidRDefault="00703566" w:rsidP="00703566">
            <w:pPr>
              <w:numPr>
                <w:ilvl w:val="0"/>
                <w:numId w:val="22"/>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Worse </w:t>
            </w:r>
          </w:p>
          <w:p w14:paraId="020060C5" w14:textId="77777777" w:rsidR="00703566" w:rsidRPr="00703566" w:rsidRDefault="00703566" w:rsidP="00703566">
            <w:pPr>
              <w:numPr>
                <w:ilvl w:val="0"/>
                <w:numId w:val="22"/>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Just as good </w:t>
            </w:r>
          </w:p>
          <w:p w14:paraId="638D0DE0" w14:textId="77777777" w:rsidR="00703566" w:rsidRPr="00703566" w:rsidRDefault="00703566" w:rsidP="00703566">
            <w:pPr>
              <w:numPr>
                <w:ilvl w:val="0"/>
                <w:numId w:val="22"/>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Better </w:t>
            </w:r>
          </w:p>
          <w:p w14:paraId="355A3FF1" w14:textId="77777777" w:rsidR="00703566" w:rsidRPr="00703566" w:rsidRDefault="00703566" w:rsidP="00703566">
            <w:pPr>
              <w:numPr>
                <w:ilvl w:val="0"/>
                <w:numId w:val="22"/>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Much better </w:t>
            </w:r>
          </w:p>
        </w:tc>
      </w:tr>
      <w:tr w:rsidR="00703566" w:rsidRPr="00703566" w14:paraId="024E800B" w14:textId="77777777" w:rsidTr="008A6F48">
        <w:trPr>
          <w:jc w:val="center"/>
        </w:trPr>
        <w:tc>
          <w:tcPr>
            <w:tcW w:w="5508" w:type="dxa"/>
          </w:tcPr>
          <w:p w14:paraId="43981AE6"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b/>
                <w:sz w:val="24"/>
                <w:szCs w:val="24"/>
              </w:rPr>
              <w:t>Normally I eat **</w:t>
            </w:r>
          </w:p>
          <w:p w14:paraId="3D4CD022" w14:textId="77777777" w:rsidR="00703566" w:rsidRPr="00703566" w:rsidRDefault="00703566" w:rsidP="00703566">
            <w:pPr>
              <w:numPr>
                <w:ilvl w:val="0"/>
                <w:numId w:val="19"/>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Less than one meal a day </w:t>
            </w:r>
          </w:p>
          <w:p w14:paraId="46D97561" w14:textId="77777777" w:rsidR="00703566" w:rsidRPr="00703566" w:rsidRDefault="00703566" w:rsidP="00703566">
            <w:pPr>
              <w:numPr>
                <w:ilvl w:val="0"/>
                <w:numId w:val="19"/>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One meal a day </w:t>
            </w:r>
          </w:p>
          <w:p w14:paraId="1F78D997" w14:textId="77777777" w:rsidR="00703566" w:rsidRPr="00703566" w:rsidRDefault="00703566" w:rsidP="00703566">
            <w:pPr>
              <w:numPr>
                <w:ilvl w:val="0"/>
                <w:numId w:val="19"/>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Two meals a day</w:t>
            </w:r>
          </w:p>
          <w:p w14:paraId="7A40370A" w14:textId="77777777" w:rsidR="00703566" w:rsidRPr="00703566" w:rsidRDefault="00703566" w:rsidP="00703566">
            <w:pPr>
              <w:numPr>
                <w:ilvl w:val="0"/>
                <w:numId w:val="19"/>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lastRenderedPageBreak/>
              <w:t xml:space="preserve">Three meals a day </w:t>
            </w:r>
          </w:p>
          <w:p w14:paraId="0C8C7BE3" w14:textId="77777777" w:rsidR="00703566" w:rsidRPr="00703566" w:rsidRDefault="00703566" w:rsidP="00703566">
            <w:pPr>
              <w:numPr>
                <w:ilvl w:val="0"/>
                <w:numId w:val="19"/>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More than three meals a day  </w:t>
            </w:r>
          </w:p>
        </w:tc>
        <w:tc>
          <w:tcPr>
            <w:tcW w:w="5508" w:type="dxa"/>
          </w:tcPr>
          <w:p w14:paraId="047973AF" w14:textId="77777777" w:rsidR="00703566" w:rsidRPr="00703566" w:rsidRDefault="00703566" w:rsidP="00703566">
            <w:pPr>
              <w:spacing w:line="360" w:lineRule="auto"/>
              <w:jc w:val="both"/>
              <w:rPr>
                <w:rFonts w:ascii="Times New Roman" w:eastAsia="Calibri" w:hAnsi="Times New Roman" w:cs="Times New Roman"/>
                <w:sz w:val="24"/>
                <w:szCs w:val="24"/>
              </w:rPr>
            </w:pPr>
            <w:r w:rsidRPr="00703566">
              <w:rPr>
                <w:rFonts w:ascii="Times New Roman" w:eastAsia="Calibri" w:hAnsi="Times New Roman" w:cs="Times New Roman"/>
                <w:b/>
                <w:sz w:val="24"/>
                <w:szCs w:val="24"/>
              </w:rPr>
              <w:lastRenderedPageBreak/>
              <w:t>Normally I eat **</w:t>
            </w:r>
          </w:p>
          <w:p w14:paraId="4257A73D" w14:textId="77777777" w:rsidR="00703566" w:rsidRPr="00703566" w:rsidRDefault="00703566" w:rsidP="00703566">
            <w:pPr>
              <w:numPr>
                <w:ilvl w:val="0"/>
                <w:numId w:val="2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Less than one meal a day </w:t>
            </w:r>
          </w:p>
          <w:p w14:paraId="37B79E83" w14:textId="77777777" w:rsidR="00703566" w:rsidRPr="00703566" w:rsidRDefault="00703566" w:rsidP="00703566">
            <w:pPr>
              <w:numPr>
                <w:ilvl w:val="0"/>
                <w:numId w:val="2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One meal a day </w:t>
            </w:r>
          </w:p>
          <w:p w14:paraId="1A48C8C8" w14:textId="77777777" w:rsidR="00703566" w:rsidRPr="00703566" w:rsidRDefault="00703566" w:rsidP="00703566">
            <w:pPr>
              <w:numPr>
                <w:ilvl w:val="0"/>
                <w:numId w:val="2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Two meals a day</w:t>
            </w:r>
          </w:p>
          <w:p w14:paraId="754B552E" w14:textId="77777777" w:rsidR="00703566" w:rsidRPr="00703566" w:rsidRDefault="00703566" w:rsidP="00703566">
            <w:pPr>
              <w:numPr>
                <w:ilvl w:val="0"/>
                <w:numId w:val="2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lastRenderedPageBreak/>
              <w:t xml:space="preserve">Three meals a day </w:t>
            </w:r>
          </w:p>
          <w:p w14:paraId="660FAC36" w14:textId="77777777" w:rsidR="00703566" w:rsidRPr="00703566" w:rsidRDefault="00703566" w:rsidP="00703566">
            <w:pPr>
              <w:numPr>
                <w:ilvl w:val="0"/>
                <w:numId w:val="23"/>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More than three meals a day  </w:t>
            </w:r>
          </w:p>
        </w:tc>
      </w:tr>
      <w:tr w:rsidR="00703566" w:rsidRPr="00703566" w14:paraId="0EDE3E44" w14:textId="77777777" w:rsidTr="008A6F48">
        <w:trPr>
          <w:jc w:val="center"/>
        </w:trPr>
        <w:tc>
          <w:tcPr>
            <w:tcW w:w="5508" w:type="dxa"/>
          </w:tcPr>
          <w:p w14:paraId="1892D31B"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lastRenderedPageBreak/>
              <w:t xml:space="preserve">I feel sick of nauseated when I eat </w:t>
            </w:r>
          </w:p>
          <w:p w14:paraId="53B9739F" w14:textId="77777777" w:rsidR="00703566" w:rsidRPr="00703566" w:rsidRDefault="00703566" w:rsidP="00703566">
            <w:pPr>
              <w:numPr>
                <w:ilvl w:val="0"/>
                <w:numId w:val="2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Most times </w:t>
            </w:r>
          </w:p>
          <w:p w14:paraId="0C95902E" w14:textId="77777777" w:rsidR="00703566" w:rsidRPr="00703566" w:rsidRDefault="00703566" w:rsidP="00703566">
            <w:pPr>
              <w:numPr>
                <w:ilvl w:val="0"/>
                <w:numId w:val="2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Often </w:t>
            </w:r>
          </w:p>
          <w:p w14:paraId="60C8DA06" w14:textId="77777777" w:rsidR="00703566" w:rsidRPr="00703566" w:rsidRDefault="00703566" w:rsidP="00703566">
            <w:pPr>
              <w:numPr>
                <w:ilvl w:val="0"/>
                <w:numId w:val="2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Sometimes </w:t>
            </w:r>
          </w:p>
          <w:p w14:paraId="1461038E" w14:textId="77777777" w:rsidR="00703566" w:rsidRPr="00703566" w:rsidRDefault="00703566" w:rsidP="00703566">
            <w:pPr>
              <w:numPr>
                <w:ilvl w:val="0"/>
                <w:numId w:val="2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Rarely </w:t>
            </w:r>
          </w:p>
          <w:p w14:paraId="68D21D39" w14:textId="77777777" w:rsidR="00703566" w:rsidRPr="00703566" w:rsidRDefault="00703566" w:rsidP="00703566">
            <w:pPr>
              <w:numPr>
                <w:ilvl w:val="0"/>
                <w:numId w:val="20"/>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Never </w:t>
            </w:r>
          </w:p>
        </w:tc>
        <w:tc>
          <w:tcPr>
            <w:tcW w:w="5508" w:type="dxa"/>
          </w:tcPr>
          <w:p w14:paraId="5FB80E37" w14:textId="77777777" w:rsidR="00703566" w:rsidRPr="00703566" w:rsidRDefault="00703566" w:rsidP="00703566">
            <w:pPr>
              <w:spacing w:line="360" w:lineRule="auto"/>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 xml:space="preserve">I feel sick of nauseated when I eat </w:t>
            </w:r>
          </w:p>
          <w:p w14:paraId="33062D25" w14:textId="77777777" w:rsidR="00703566" w:rsidRPr="00703566" w:rsidRDefault="00703566" w:rsidP="00703566">
            <w:pPr>
              <w:numPr>
                <w:ilvl w:val="0"/>
                <w:numId w:val="24"/>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Most times </w:t>
            </w:r>
          </w:p>
          <w:p w14:paraId="0EFEC421" w14:textId="77777777" w:rsidR="00703566" w:rsidRPr="00703566" w:rsidRDefault="00703566" w:rsidP="00703566">
            <w:pPr>
              <w:numPr>
                <w:ilvl w:val="0"/>
                <w:numId w:val="24"/>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Often </w:t>
            </w:r>
          </w:p>
          <w:p w14:paraId="5EB6D7BD" w14:textId="77777777" w:rsidR="00703566" w:rsidRPr="00703566" w:rsidRDefault="00703566" w:rsidP="00703566">
            <w:pPr>
              <w:numPr>
                <w:ilvl w:val="0"/>
                <w:numId w:val="24"/>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Sometimes </w:t>
            </w:r>
          </w:p>
          <w:p w14:paraId="277F5EE1" w14:textId="77777777" w:rsidR="00703566" w:rsidRPr="00703566" w:rsidRDefault="00703566" w:rsidP="00703566">
            <w:pPr>
              <w:numPr>
                <w:ilvl w:val="0"/>
                <w:numId w:val="24"/>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Rarely </w:t>
            </w:r>
          </w:p>
          <w:p w14:paraId="5C67A2D2" w14:textId="77777777" w:rsidR="00703566" w:rsidRPr="00703566" w:rsidRDefault="00703566" w:rsidP="00703566">
            <w:pPr>
              <w:numPr>
                <w:ilvl w:val="0"/>
                <w:numId w:val="24"/>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Never </w:t>
            </w:r>
          </w:p>
        </w:tc>
      </w:tr>
      <w:tr w:rsidR="00703566" w:rsidRPr="00703566" w14:paraId="69F9D9D2" w14:textId="77777777" w:rsidTr="008A6F48">
        <w:trPr>
          <w:jc w:val="center"/>
        </w:trPr>
        <w:tc>
          <w:tcPr>
            <w:tcW w:w="5508" w:type="dxa"/>
          </w:tcPr>
          <w:p w14:paraId="7F07605C"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Most of the time my mood is</w:t>
            </w:r>
          </w:p>
          <w:p w14:paraId="5908A953" w14:textId="77777777" w:rsidR="00703566" w:rsidRPr="00703566" w:rsidRDefault="00703566" w:rsidP="00703566">
            <w:pPr>
              <w:numPr>
                <w:ilvl w:val="0"/>
                <w:numId w:val="2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Very sad</w:t>
            </w:r>
          </w:p>
          <w:p w14:paraId="3C54B164" w14:textId="77777777" w:rsidR="00703566" w:rsidRPr="00703566" w:rsidRDefault="00703566" w:rsidP="00703566">
            <w:pPr>
              <w:numPr>
                <w:ilvl w:val="0"/>
                <w:numId w:val="2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Sad </w:t>
            </w:r>
          </w:p>
          <w:p w14:paraId="182613CF" w14:textId="77777777" w:rsidR="00703566" w:rsidRPr="00703566" w:rsidRDefault="00703566" w:rsidP="00703566">
            <w:pPr>
              <w:numPr>
                <w:ilvl w:val="0"/>
                <w:numId w:val="2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Neither sad nor happy </w:t>
            </w:r>
          </w:p>
          <w:p w14:paraId="07D2B4CF" w14:textId="77777777" w:rsidR="00703566" w:rsidRPr="00703566" w:rsidRDefault="00703566" w:rsidP="00703566">
            <w:pPr>
              <w:numPr>
                <w:ilvl w:val="0"/>
                <w:numId w:val="2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Happy </w:t>
            </w:r>
          </w:p>
          <w:p w14:paraId="396F1D0D" w14:textId="77777777" w:rsidR="00703566" w:rsidRPr="00703566" w:rsidRDefault="00703566" w:rsidP="00703566">
            <w:pPr>
              <w:numPr>
                <w:ilvl w:val="0"/>
                <w:numId w:val="21"/>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Very happy </w:t>
            </w:r>
          </w:p>
        </w:tc>
        <w:tc>
          <w:tcPr>
            <w:tcW w:w="5508" w:type="dxa"/>
          </w:tcPr>
          <w:p w14:paraId="76BA49DF"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r w:rsidRPr="00703566">
              <w:rPr>
                <w:rFonts w:ascii="Times New Roman" w:eastAsia="Calibri" w:hAnsi="Times New Roman" w:cs="Times New Roman"/>
                <w:b/>
                <w:sz w:val="24"/>
                <w:szCs w:val="24"/>
              </w:rPr>
              <w:t>Most of the time my mood is</w:t>
            </w:r>
          </w:p>
          <w:p w14:paraId="63B0DB28" w14:textId="77777777" w:rsidR="00703566" w:rsidRPr="00703566" w:rsidRDefault="00703566" w:rsidP="00703566">
            <w:pPr>
              <w:numPr>
                <w:ilvl w:val="0"/>
                <w:numId w:val="2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Very sad</w:t>
            </w:r>
          </w:p>
          <w:p w14:paraId="12D48425" w14:textId="77777777" w:rsidR="00703566" w:rsidRPr="00703566" w:rsidRDefault="00703566" w:rsidP="00703566">
            <w:pPr>
              <w:numPr>
                <w:ilvl w:val="0"/>
                <w:numId w:val="2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Sad </w:t>
            </w:r>
          </w:p>
          <w:p w14:paraId="7DDE4785" w14:textId="77777777" w:rsidR="00703566" w:rsidRPr="00703566" w:rsidRDefault="00703566" w:rsidP="00703566">
            <w:pPr>
              <w:numPr>
                <w:ilvl w:val="0"/>
                <w:numId w:val="2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Neither sad nor happy </w:t>
            </w:r>
          </w:p>
          <w:p w14:paraId="536AAF7A" w14:textId="77777777" w:rsidR="00703566" w:rsidRPr="00703566" w:rsidRDefault="00703566" w:rsidP="00703566">
            <w:pPr>
              <w:numPr>
                <w:ilvl w:val="0"/>
                <w:numId w:val="2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Happy </w:t>
            </w:r>
          </w:p>
          <w:p w14:paraId="3EDAC665" w14:textId="77777777" w:rsidR="00703566" w:rsidRPr="00703566" w:rsidRDefault="00703566" w:rsidP="00703566">
            <w:pPr>
              <w:numPr>
                <w:ilvl w:val="0"/>
                <w:numId w:val="25"/>
              </w:numPr>
              <w:spacing w:line="360" w:lineRule="auto"/>
              <w:contextualSpacing/>
              <w:jc w:val="both"/>
              <w:rPr>
                <w:rFonts w:ascii="Times New Roman" w:eastAsia="Calibri" w:hAnsi="Times New Roman" w:cs="Times New Roman"/>
                <w:sz w:val="24"/>
                <w:szCs w:val="24"/>
              </w:rPr>
            </w:pPr>
            <w:r w:rsidRPr="00703566">
              <w:rPr>
                <w:rFonts w:ascii="Times New Roman" w:eastAsia="Calibri" w:hAnsi="Times New Roman" w:cs="Times New Roman"/>
                <w:sz w:val="24"/>
                <w:szCs w:val="24"/>
              </w:rPr>
              <w:t xml:space="preserve">Very happy </w:t>
            </w:r>
          </w:p>
        </w:tc>
      </w:tr>
      <w:tr w:rsidR="00703566" w:rsidRPr="00703566" w14:paraId="6151ACC6" w14:textId="77777777" w:rsidTr="008A6F48">
        <w:trPr>
          <w:jc w:val="center"/>
        </w:trPr>
        <w:tc>
          <w:tcPr>
            <w:tcW w:w="5508" w:type="dxa"/>
          </w:tcPr>
          <w:p w14:paraId="312631EB"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proofErr w:type="gramStart"/>
            <w:r w:rsidRPr="00703566">
              <w:rPr>
                <w:rFonts w:ascii="Times New Roman" w:eastAsia="Calibri" w:hAnsi="Times New Roman" w:cs="Times New Roman"/>
                <w:b/>
                <w:sz w:val="24"/>
                <w:szCs w:val="24"/>
              </w:rPr>
              <w:t>Score :</w:t>
            </w:r>
            <w:proofErr w:type="gramEnd"/>
          </w:p>
          <w:p w14:paraId="2155DC0A"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proofErr w:type="gramStart"/>
            <w:r w:rsidRPr="00703566">
              <w:rPr>
                <w:rFonts w:ascii="Times New Roman" w:eastAsia="Calibri" w:hAnsi="Times New Roman" w:cs="Times New Roman"/>
                <w:b/>
                <w:sz w:val="24"/>
                <w:szCs w:val="24"/>
              </w:rPr>
              <w:t>Interpretation :</w:t>
            </w:r>
            <w:proofErr w:type="gramEnd"/>
          </w:p>
        </w:tc>
        <w:tc>
          <w:tcPr>
            <w:tcW w:w="5508" w:type="dxa"/>
          </w:tcPr>
          <w:p w14:paraId="75E73309"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proofErr w:type="gramStart"/>
            <w:r w:rsidRPr="00703566">
              <w:rPr>
                <w:rFonts w:ascii="Times New Roman" w:eastAsia="Calibri" w:hAnsi="Times New Roman" w:cs="Times New Roman"/>
                <w:b/>
                <w:sz w:val="24"/>
                <w:szCs w:val="24"/>
              </w:rPr>
              <w:t>Score :</w:t>
            </w:r>
            <w:proofErr w:type="gramEnd"/>
          </w:p>
          <w:p w14:paraId="419DE471" w14:textId="77777777" w:rsidR="00703566" w:rsidRPr="00703566" w:rsidRDefault="00703566" w:rsidP="00703566">
            <w:pPr>
              <w:spacing w:line="360" w:lineRule="auto"/>
              <w:contextualSpacing/>
              <w:jc w:val="both"/>
              <w:rPr>
                <w:rFonts w:ascii="Times New Roman" w:eastAsia="Calibri" w:hAnsi="Times New Roman" w:cs="Times New Roman"/>
                <w:b/>
                <w:sz w:val="24"/>
                <w:szCs w:val="24"/>
              </w:rPr>
            </w:pPr>
            <w:proofErr w:type="gramStart"/>
            <w:r w:rsidRPr="00703566">
              <w:rPr>
                <w:rFonts w:ascii="Times New Roman" w:eastAsia="Calibri" w:hAnsi="Times New Roman" w:cs="Times New Roman"/>
                <w:b/>
                <w:sz w:val="24"/>
                <w:szCs w:val="24"/>
              </w:rPr>
              <w:t>Interpretation :</w:t>
            </w:r>
            <w:proofErr w:type="gramEnd"/>
          </w:p>
        </w:tc>
      </w:tr>
    </w:tbl>
    <w:p w14:paraId="155E0D16" w14:textId="77777777" w:rsidR="00703566" w:rsidRPr="00703566" w:rsidRDefault="00703566" w:rsidP="00703566">
      <w:pPr>
        <w:spacing w:after="200" w:line="480" w:lineRule="auto"/>
        <w:jc w:val="both"/>
        <w:rPr>
          <w:rFonts w:ascii="Times New Roman" w:eastAsia="Calibri" w:hAnsi="Times New Roman" w:cs="Times New Roman"/>
          <w:b/>
          <w:sz w:val="24"/>
          <w:szCs w:val="24"/>
          <w:u w:val="single"/>
          <w:lang w:val="en-US"/>
        </w:rPr>
      </w:pPr>
    </w:p>
    <w:p w14:paraId="5428C0B6" w14:textId="77777777" w:rsidR="00703566" w:rsidRPr="00703566" w:rsidRDefault="00703566" w:rsidP="00703566">
      <w:pPr>
        <w:spacing w:after="200" w:line="480" w:lineRule="auto"/>
        <w:jc w:val="both"/>
        <w:rPr>
          <w:rFonts w:ascii="Times New Roman" w:eastAsia="Calibri" w:hAnsi="Times New Roman" w:cs="Times New Roman"/>
          <w:b/>
          <w:sz w:val="24"/>
          <w:szCs w:val="24"/>
          <w:u w:val="single"/>
          <w:lang w:val="en-US"/>
        </w:rPr>
      </w:pPr>
      <w:r w:rsidRPr="00703566">
        <w:rPr>
          <w:rFonts w:ascii="Times New Roman" w:eastAsia="Calibri" w:hAnsi="Times New Roman" w:cs="Times New Roman"/>
          <w:b/>
          <w:sz w:val="24"/>
          <w:szCs w:val="24"/>
          <w:u w:val="single"/>
          <w:lang w:val="en-US"/>
        </w:rPr>
        <w:t xml:space="preserve">Screening tool for eating disorders </w:t>
      </w:r>
      <w:proofErr w:type="gramStart"/>
      <w:r w:rsidRPr="00703566">
        <w:rPr>
          <w:rFonts w:ascii="Times New Roman" w:eastAsia="Calibri" w:hAnsi="Times New Roman" w:cs="Times New Roman"/>
          <w:b/>
          <w:sz w:val="24"/>
          <w:szCs w:val="24"/>
          <w:u w:val="single"/>
          <w:lang w:val="en-US"/>
        </w:rPr>
        <w:t>( SCOFF</w:t>
      </w:r>
      <w:proofErr w:type="gramEnd"/>
      <w:r w:rsidRPr="00703566">
        <w:rPr>
          <w:rFonts w:ascii="Times New Roman" w:eastAsia="Calibri" w:hAnsi="Times New Roman" w:cs="Times New Roman"/>
          <w:b/>
          <w:sz w:val="24"/>
          <w:szCs w:val="24"/>
          <w:u w:val="single"/>
          <w:lang w:val="en-US"/>
        </w:rPr>
        <w:t>)</w:t>
      </w:r>
    </w:p>
    <w:p w14:paraId="3A75D70A" w14:textId="77777777" w:rsidR="00703566" w:rsidRPr="00703566" w:rsidRDefault="00703566" w:rsidP="00703566">
      <w:pPr>
        <w:numPr>
          <w:ilvl w:val="0"/>
          <w:numId w:val="1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Do you make yourself sick because you feel uncomfortably </w:t>
      </w:r>
      <w:proofErr w:type="gramStart"/>
      <w:r w:rsidRPr="00703566">
        <w:rPr>
          <w:rFonts w:ascii="Times New Roman" w:eastAsia="Calibri" w:hAnsi="Times New Roman" w:cs="Times New Roman"/>
          <w:sz w:val="24"/>
          <w:szCs w:val="24"/>
          <w:lang w:val="en-US"/>
        </w:rPr>
        <w:t>full  ;</w:t>
      </w:r>
      <w:proofErr w:type="gramEnd"/>
      <w:r w:rsidRPr="00703566">
        <w:rPr>
          <w:rFonts w:ascii="Times New Roman" w:eastAsia="Calibri" w:hAnsi="Times New Roman" w:cs="Times New Roman"/>
          <w:sz w:val="24"/>
          <w:szCs w:val="24"/>
          <w:lang w:val="en-US"/>
        </w:rPr>
        <w:t xml:space="preserve"> 1 </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yes ,0 </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No</w:t>
      </w:r>
    </w:p>
    <w:p w14:paraId="55C77B11" w14:textId="77777777" w:rsidR="00703566" w:rsidRPr="00703566" w:rsidRDefault="00703566" w:rsidP="00703566">
      <w:pPr>
        <w:numPr>
          <w:ilvl w:val="0"/>
          <w:numId w:val="1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Do you worry that you have lost control over how much you </w:t>
      </w:r>
      <w:proofErr w:type="gramStart"/>
      <w:r w:rsidRPr="00703566">
        <w:rPr>
          <w:rFonts w:ascii="Times New Roman" w:eastAsia="Calibri" w:hAnsi="Times New Roman" w:cs="Times New Roman"/>
          <w:sz w:val="24"/>
          <w:szCs w:val="24"/>
          <w:lang w:val="en-US"/>
        </w:rPr>
        <w:t>eat ;</w:t>
      </w:r>
      <w:proofErr w:type="gramEnd"/>
      <w:r w:rsidRPr="00703566">
        <w:rPr>
          <w:rFonts w:ascii="Times New Roman" w:eastAsia="Calibri" w:hAnsi="Times New Roman" w:cs="Times New Roman"/>
          <w:sz w:val="24"/>
          <w:szCs w:val="24"/>
          <w:lang w:val="en-US"/>
        </w:rPr>
        <w:t xml:space="preserve"> 1</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yes , 0 </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No</w:t>
      </w:r>
    </w:p>
    <w:p w14:paraId="60C90C3F" w14:textId="77777777" w:rsidR="00703566" w:rsidRPr="00703566" w:rsidRDefault="00703566" w:rsidP="00703566">
      <w:pPr>
        <w:numPr>
          <w:ilvl w:val="0"/>
          <w:numId w:val="1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Have you recently lose more than one stone in a 3 month </w:t>
      </w:r>
      <w:proofErr w:type="gramStart"/>
      <w:r w:rsidRPr="00703566">
        <w:rPr>
          <w:rFonts w:ascii="Times New Roman" w:eastAsia="Calibri" w:hAnsi="Times New Roman" w:cs="Times New Roman"/>
          <w:sz w:val="24"/>
          <w:szCs w:val="24"/>
          <w:lang w:val="en-US"/>
        </w:rPr>
        <w:t>period ;</w:t>
      </w:r>
      <w:proofErr w:type="gramEnd"/>
      <w:r w:rsidRPr="00703566">
        <w:rPr>
          <w:rFonts w:ascii="Times New Roman" w:eastAsia="Calibri" w:hAnsi="Times New Roman" w:cs="Times New Roman"/>
          <w:sz w:val="24"/>
          <w:szCs w:val="24"/>
          <w:lang w:val="en-US"/>
        </w:rPr>
        <w:t xml:space="preserve"> 1</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yes , 0</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No</w:t>
      </w:r>
    </w:p>
    <w:p w14:paraId="1BE7BB42" w14:textId="77777777" w:rsidR="00703566" w:rsidRPr="00703566" w:rsidRDefault="00703566" w:rsidP="00703566">
      <w:pPr>
        <w:numPr>
          <w:ilvl w:val="0"/>
          <w:numId w:val="1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Do you believe yourself to be fat when other saying you are too thin;1 </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w:t>
      </w:r>
      <w:proofErr w:type="gramStart"/>
      <w:r w:rsidRPr="00703566">
        <w:rPr>
          <w:rFonts w:ascii="Times New Roman" w:eastAsia="Calibri" w:hAnsi="Times New Roman" w:cs="Times New Roman"/>
          <w:sz w:val="24"/>
          <w:szCs w:val="24"/>
          <w:lang w:val="en-US"/>
        </w:rPr>
        <w:t>yes ,</w:t>
      </w:r>
      <w:proofErr w:type="gramEnd"/>
      <w:r w:rsidRPr="00703566">
        <w:rPr>
          <w:rFonts w:ascii="Times New Roman" w:eastAsia="Calibri" w:hAnsi="Times New Roman" w:cs="Times New Roman"/>
          <w:sz w:val="24"/>
          <w:szCs w:val="24"/>
          <w:lang w:val="en-US"/>
        </w:rPr>
        <w:t xml:space="preserve"> 0 </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No </w:t>
      </w:r>
    </w:p>
    <w:p w14:paraId="24079BCF" w14:textId="77777777" w:rsidR="00703566" w:rsidRPr="00703566" w:rsidRDefault="00703566" w:rsidP="00703566">
      <w:pPr>
        <w:numPr>
          <w:ilvl w:val="0"/>
          <w:numId w:val="12"/>
        </w:numPr>
        <w:spacing w:after="200" w:line="480" w:lineRule="auto"/>
        <w:contextualSpacing/>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Would you say that food dominates your </w:t>
      </w:r>
      <w:proofErr w:type="gramStart"/>
      <w:r w:rsidRPr="00703566">
        <w:rPr>
          <w:rFonts w:ascii="Times New Roman" w:eastAsia="Calibri" w:hAnsi="Times New Roman" w:cs="Times New Roman"/>
          <w:sz w:val="24"/>
          <w:szCs w:val="24"/>
          <w:lang w:val="en-US"/>
        </w:rPr>
        <w:t xml:space="preserve">life;   </w:t>
      </w:r>
      <w:proofErr w:type="gramEnd"/>
      <w:r w:rsidRPr="00703566">
        <w:rPr>
          <w:rFonts w:ascii="Times New Roman" w:eastAsia="Calibri" w:hAnsi="Times New Roman" w:cs="Times New Roman"/>
          <w:sz w:val="24"/>
          <w:szCs w:val="24"/>
          <w:lang w:val="en-US"/>
        </w:rPr>
        <w:t xml:space="preserve">                       1   </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yes , 0 </w:t>
      </w:r>
      <w:r w:rsidRPr="00703566">
        <w:rPr>
          <w:rFonts w:ascii="Times New Roman" w:eastAsia="Calibri" w:hAnsi="Times New Roman" w:cs="Times New Roman"/>
          <w:sz w:val="24"/>
          <w:szCs w:val="24"/>
          <w:lang w:val="en-US"/>
        </w:rPr>
        <w:sym w:font="Wingdings" w:char="F070"/>
      </w:r>
      <w:r w:rsidRPr="00703566">
        <w:rPr>
          <w:rFonts w:ascii="Times New Roman" w:eastAsia="Calibri" w:hAnsi="Times New Roman" w:cs="Times New Roman"/>
          <w:sz w:val="24"/>
          <w:szCs w:val="24"/>
          <w:lang w:val="en-US"/>
        </w:rPr>
        <w:t xml:space="preserve"> No</w:t>
      </w:r>
      <w:r w:rsidRPr="00703566">
        <w:rPr>
          <w:rFonts w:ascii="Times New Roman" w:eastAsia="Calibri" w:hAnsi="Times New Roman" w:cs="Times New Roman"/>
          <w:sz w:val="24"/>
          <w:szCs w:val="24"/>
          <w:lang w:val="en-US"/>
        </w:rPr>
        <w:tab/>
      </w:r>
      <w:r w:rsidRPr="00703566">
        <w:rPr>
          <w:rFonts w:ascii="Times New Roman" w:eastAsia="Calibri" w:hAnsi="Times New Roman" w:cs="Times New Roman"/>
          <w:sz w:val="24"/>
          <w:szCs w:val="24"/>
          <w:lang w:val="en-US"/>
        </w:rPr>
        <w:tab/>
      </w:r>
      <w:r w:rsidRPr="00703566">
        <w:rPr>
          <w:rFonts w:ascii="Times New Roman" w:eastAsia="Calibri" w:hAnsi="Times New Roman" w:cs="Times New Roman"/>
          <w:sz w:val="24"/>
          <w:szCs w:val="24"/>
          <w:lang w:val="en-US"/>
        </w:rPr>
        <w:tab/>
      </w:r>
    </w:p>
    <w:p w14:paraId="52F11CF4" w14:textId="77777777" w:rsidR="00703566" w:rsidRPr="00703566" w:rsidRDefault="00703566" w:rsidP="00703566">
      <w:pPr>
        <w:spacing w:after="0" w:line="480" w:lineRule="auto"/>
        <w:jc w:val="both"/>
        <w:rPr>
          <w:rFonts w:ascii="Times New Roman" w:eastAsia="Times New Roman" w:hAnsi="Times New Roman" w:cs="Times New Roman"/>
          <w:b/>
          <w:bCs/>
          <w:color w:val="000000"/>
          <w:sz w:val="24"/>
          <w:szCs w:val="24"/>
          <w:u w:val="single"/>
          <w:lang w:val="en-US"/>
        </w:rPr>
      </w:pPr>
      <w:r w:rsidRPr="00703566">
        <w:rPr>
          <w:rFonts w:ascii="Times New Roman" w:eastAsia="Times New Roman" w:hAnsi="Times New Roman" w:cs="Times New Roman"/>
          <w:b/>
          <w:bCs/>
          <w:color w:val="000000"/>
          <w:sz w:val="24"/>
          <w:szCs w:val="24"/>
          <w:u w:val="single"/>
          <w:lang w:val="en-US"/>
        </w:rPr>
        <w:t>D. PSYCHOLOGICAL ASSESSMENT</w:t>
      </w:r>
    </w:p>
    <w:p w14:paraId="06F0A4CB" w14:textId="77777777" w:rsidR="00703566" w:rsidRPr="00703566" w:rsidRDefault="00703566" w:rsidP="00703566">
      <w:pPr>
        <w:spacing w:after="200" w:line="480" w:lineRule="auto"/>
        <w:contextualSpacing/>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DASS tool</w:t>
      </w:r>
    </w:p>
    <w:tbl>
      <w:tblPr>
        <w:tblStyle w:val="TableGrid111"/>
        <w:tblW w:w="10031" w:type="dxa"/>
        <w:jc w:val="center"/>
        <w:tblLook w:val="04A0" w:firstRow="1" w:lastRow="0" w:firstColumn="1" w:lastColumn="0" w:noHBand="0" w:noVBand="1"/>
      </w:tblPr>
      <w:tblGrid>
        <w:gridCol w:w="7621"/>
        <w:gridCol w:w="2410"/>
      </w:tblGrid>
      <w:tr w:rsidR="00703566" w:rsidRPr="00703566" w14:paraId="2FC11ABB" w14:textId="77777777" w:rsidTr="008A6F48">
        <w:trPr>
          <w:jc w:val="center"/>
        </w:trPr>
        <w:tc>
          <w:tcPr>
            <w:tcW w:w="7621" w:type="dxa"/>
          </w:tcPr>
          <w:p w14:paraId="58EEC5A7"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1.I found myself getting upset by quite trivial things</w:t>
            </w:r>
          </w:p>
        </w:tc>
        <w:tc>
          <w:tcPr>
            <w:tcW w:w="2410" w:type="dxa"/>
          </w:tcPr>
          <w:p w14:paraId="5B218390"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59F807C2" w14:textId="77777777" w:rsidTr="008A6F48">
        <w:trPr>
          <w:jc w:val="center"/>
        </w:trPr>
        <w:tc>
          <w:tcPr>
            <w:tcW w:w="7621" w:type="dxa"/>
          </w:tcPr>
          <w:p w14:paraId="1E2B5599"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2. I was aware of dryness of my mouth</w:t>
            </w:r>
          </w:p>
        </w:tc>
        <w:tc>
          <w:tcPr>
            <w:tcW w:w="2410" w:type="dxa"/>
          </w:tcPr>
          <w:p w14:paraId="7F7F8401"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62776589" w14:textId="77777777" w:rsidTr="008A6F48">
        <w:trPr>
          <w:jc w:val="center"/>
        </w:trPr>
        <w:tc>
          <w:tcPr>
            <w:tcW w:w="7621" w:type="dxa"/>
          </w:tcPr>
          <w:p w14:paraId="1B4E7ED0"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3. I couldn’t seem to experience any positive feeling at all</w:t>
            </w:r>
          </w:p>
        </w:tc>
        <w:tc>
          <w:tcPr>
            <w:tcW w:w="2410" w:type="dxa"/>
          </w:tcPr>
          <w:p w14:paraId="2D63A32B"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36A009A3" w14:textId="77777777" w:rsidTr="008A6F48">
        <w:trPr>
          <w:jc w:val="center"/>
        </w:trPr>
        <w:tc>
          <w:tcPr>
            <w:tcW w:w="7621" w:type="dxa"/>
          </w:tcPr>
          <w:p w14:paraId="197F2C76"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lastRenderedPageBreak/>
              <w:t>4.I experienced breathing difficulty (</w:t>
            </w:r>
            <w:proofErr w:type="gramStart"/>
            <w:r w:rsidRPr="00703566">
              <w:rPr>
                <w:rFonts w:ascii="Times New Roman" w:hAnsi="Times New Roman"/>
                <w:sz w:val="24"/>
                <w:szCs w:val="24"/>
              </w:rPr>
              <w:t>e.g.</w:t>
            </w:r>
            <w:proofErr w:type="gramEnd"/>
            <w:r w:rsidRPr="00703566">
              <w:rPr>
                <w:rFonts w:ascii="Times New Roman" w:hAnsi="Times New Roman"/>
                <w:sz w:val="24"/>
                <w:szCs w:val="24"/>
              </w:rPr>
              <w:t xml:space="preserve"> excessively rapid breathing, breathlessness in the absence of physical exertion)</w:t>
            </w:r>
          </w:p>
        </w:tc>
        <w:tc>
          <w:tcPr>
            <w:tcW w:w="2410" w:type="dxa"/>
          </w:tcPr>
          <w:p w14:paraId="3ED96FBA"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1D82EA27" w14:textId="77777777" w:rsidTr="008A6F48">
        <w:trPr>
          <w:jc w:val="center"/>
        </w:trPr>
        <w:tc>
          <w:tcPr>
            <w:tcW w:w="7621" w:type="dxa"/>
          </w:tcPr>
          <w:p w14:paraId="349E8E9A"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5. I just couldn’t seem to get going</w:t>
            </w:r>
          </w:p>
        </w:tc>
        <w:tc>
          <w:tcPr>
            <w:tcW w:w="2410" w:type="dxa"/>
          </w:tcPr>
          <w:p w14:paraId="41D1825C"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6016C8C8" w14:textId="77777777" w:rsidTr="008A6F48">
        <w:trPr>
          <w:jc w:val="center"/>
        </w:trPr>
        <w:tc>
          <w:tcPr>
            <w:tcW w:w="7621" w:type="dxa"/>
          </w:tcPr>
          <w:p w14:paraId="425D8EC5"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6. I tended to over-react to situations</w:t>
            </w:r>
          </w:p>
        </w:tc>
        <w:tc>
          <w:tcPr>
            <w:tcW w:w="2410" w:type="dxa"/>
          </w:tcPr>
          <w:p w14:paraId="1A3AE2AD"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6B212E5A" w14:textId="77777777" w:rsidTr="008A6F48">
        <w:trPr>
          <w:jc w:val="center"/>
        </w:trPr>
        <w:tc>
          <w:tcPr>
            <w:tcW w:w="7621" w:type="dxa"/>
          </w:tcPr>
          <w:p w14:paraId="65219ADD"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7. I had a feeling of shakiness (</w:t>
            </w:r>
            <w:proofErr w:type="gramStart"/>
            <w:r w:rsidRPr="00703566">
              <w:rPr>
                <w:rFonts w:ascii="Times New Roman" w:hAnsi="Times New Roman"/>
                <w:sz w:val="24"/>
                <w:szCs w:val="24"/>
              </w:rPr>
              <w:t>e.g.</w:t>
            </w:r>
            <w:proofErr w:type="gramEnd"/>
            <w:r w:rsidRPr="00703566">
              <w:rPr>
                <w:rFonts w:ascii="Times New Roman" w:hAnsi="Times New Roman"/>
                <w:sz w:val="24"/>
                <w:szCs w:val="24"/>
              </w:rPr>
              <w:t xml:space="preserve"> legs going to give way)</w:t>
            </w:r>
          </w:p>
        </w:tc>
        <w:tc>
          <w:tcPr>
            <w:tcW w:w="2410" w:type="dxa"/>
          </w:tcPr>
          <w:p w14:paraId="553EF3F0"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4132883D" w14:textId="77777777" w:rsidTr="008A6F48">
        <w:trPr>
          <w:jc w:val="center"/>
        </w:trPr>
        <w:tc>
          <w:tcPr>
            <w:tcW w:w="7621" w:type="dxa"/>
          </w:tcPr>
          <w:p w14:paraId="72FC2FAC"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8.I found it difficult to relax</w:t>
            </w:r>
          </w:p>
        </w:tc>
        <w:tc>
          <w:tcPr>
            <w:tcW w:w="2410" w:type="dxa"/>
          </w:tcPr>
          <w:p w14:paraId="4FBDD8C9"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5EAB0F29" w14:textId="77777777" w:rsidTr="008A6F48">
        <w:trPr>
          <w:jc w:val="center"/>
        </w:trPr>
        <w:tc>
          <w:tcPr>
            <w:tcW w:w="7621" w:type="dxa"/>
          </w:tcPr>
          <w:p w14:paraId="4AA1513E"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9.I found myself in situations that made me so anxious I was most relieved when they ended</w:t>
            </w:r>
          </w:p>
        </w:tc>
        <w:tc>
          <w:tcPr>
            <w:tcW w:w="2410" w:type="dxa"/>
          </w:tcPr>
          <w:p w14:paraId="29B6A37F"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7908FDEB" w14:textId="77777777" w:rsidTr="008A6F48">
        <w:trPr>
          <w:jc w:val="center"/>
        </w:trPr>
        <w:tc>
          <w:tcPr>
            <w:tcW w:w="7621" w:type="dxa"/>
          </w:tcPr>
          <w:p w14:paraId="6371716F"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10.I felt that I had nothing to look forward to</w:t>
            </w:r>
          </w:p>
        </w:tc>
        <w:tc>
          <w:tcPr>
            <w:tcW w:w="2410" w:type="dxa"/>
          </w:tcPr>
          <w:p w14:paraId="12198B7D"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2517446D" w14:textId="77777777" w:rsidTr="008A6F48">
        <w:trPr>
          <w:jc w:val="center"/>
        </w:trPr>
        <w:tc>
          <w:tcPr>
            <w:tcW w:w="7621" w:type="dxa"/>
          </w:tcPr>
          <w:p w14:paraId="69021375"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11.I found myself getting upset rather easily</w:t>
            </w:r>
          </w:p>
        </w:tc>
        <w:tc>
          <w:tcPr>
            <w:tcW w:w="2410" w:type="dxa"/>
          </w:tcPr>
          <w:p w14:paraId="0FB16FB6"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1D425478" w14:textId="77777777" w:rsidTr="008A6F48">
        <w:trPr>
          <w:jc w:val="center"/>
        </w:trPr>
        <w:tc>
          <w:tcPr>
            <w:tcW w:w="7621" w:type="dxa"/>
          </w:tcPr>
          <w:p w14:paraId="08A8E2FE"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12.I felt that I was using a lot of nervous energy</w:t>
            </w:r>
          </w:p>
        </w:tc>
        <w:tc>
          <w:tcPr>
            <w:tcW w:w="2410" w:type="dxa"/>
          </w:tcPr>
          <w:p w14:paraId="5218D222"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3C773241" w14:textId="77777777" w:rsidTr="008A6F48">
        <w:trPr>
          <w:jc w:val="center"/>
        </w:trPr>
        <w:tc>
          <w:tcPr>
            <w:tcW w:w="7621" w:type="dxa"/>
          </w:tcPr>
          <w:p w14:paraId="14AF4B93"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13.I felt sad and depressed</w:t>
            </w:r>
          </w:p>
        </w:tc>
        <w:tc>
          <w:tcPr>
            <w:tcW w:w="2410" w:type="dxa"/>
          </w:tcPr>
          <w:p w14:paraId="23F300EC"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6FEAEB12" w14:textId="77777777" w:rsidTr="008A6F48">
        <w:trPr>
          <w:jc w:val="center"/>
        </w:trPr>
        <w:tc>
          <w:tcPr>
            <w:tcW w:w="7621" w:type="dxa"/>
          </w:tcPr>
          <w:p w14:paraId="43CFBD42"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14.I found myself getting impatient when I was delayed in any way (being kept waiting)</w:t>
            </w:r>
          </w:p>
        </w:tc>
        <w:tc>
          <w:tcPr>
            <w:tcW w:w="2410" w:type="dxa"/>
          </w:tcPr>
          <w:p w14:paraId="139C580F"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513C9AA2" w14:textId="77777777" w:rsidTr="008A6F48">
        <w:trPr>
          <w:jc w:val="center"/>
        </w:trPr>
        <w:tc>
          <w:tcPr>
            <w:tcW w:w="7621" w:type="dxa"/>
          </w:tcPr>
          <w:p w14:paraId="22491783"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15.I had a feeling of faintness</w:t>
            </w:r>
          </w:p>
        </w:tc>
        <w:tc>
          <w:tcPr>
            <w:tcW w:w="2410" w:type="dxa"/>
          </w:tcPr>
          <w:p w14:paraId="6917CDBC"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57EF09B3" w14:textId="77777777" w:rsidTr="008A6F48">
        <w:trPr>
          <w:jc w:val="center"/>
        </w:trPr>
        <w:tc>
          <w:tcPr>
            <w:tcW w:w="7621" w:type="dxa"/>
          </w:tcPr>
          <w:p w14:paraId="1D0523ED"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16.I felt that I had lost interest in just about everything</w:t>
            </w:r>
          </w:p>
        </w:tc>
        <w:tc>
          <w:tcPr>
            <w:tcW w:w="2410" w:type="dxa"/>
          </w:tcPr>
          <w:p w14:paraId="6940043A"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25F65B5A" w14:textId="77777777" w:rsidTr="008A6F48">
        <w:trPr>
          <w:jc w:val="center"/>
        </w:trPr>
        <w:tc>
          <w:tcPr>
            <w:tcW w:w="7621" w:type="dxa"/>
          </w:tcPr>
          <w:p w14:paraId="0853EFB2"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17.I felt wasn’t worth much as a person</w:t>
            </w:r>
          </w:p>
        </w:tc>
        <w:tc>
          <w:tcPr>
            <w:tcW w:w="2410" w:type="dxa"/>
          </w:tcPr>
          <w:p w14:paraId="171F4713"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48005364" w14:textId="77777777" w:rsidTr="008A6F48">
        <w:trPr>
          <w:jc w:val="center"/>
        </w:trPr>
        <w:tc>
          <w:tcPr>
            <w:tcW w:w="7621" w:type="dxa"/>
          </w:tcPr>
          <w:p w14:paraId="771B4F0E"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18.I felt that I was rather touchy</w:t>
            </w:r>
          </w:p>
        </w:tc>
        <w:tc>
          <w:tcPr>
            <w:tcW w:w="2410" w:type="dxa"/>
          </w:tcPr>
          <w:p w14:paraId="6DB4B13D"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29703334" w14:textId="77777777" w:rsidTr="008A6F48">
        <w:trPr>
          <w:jc w:val="center"/>
        </w:trPr>
        <w:tc>
          <w:tcPr>
            <w:tcW w:w="7621" w:type="dxa"/>
          </w:tcPr>
          <w:p w14:paraId="4F8C0243"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19.I perspired noticeably (</w:t>
            </w:r>
            <w:proofErr w:type="gramStart"/>
            <w:r w:rsidRPr="00703566">
              <w:rPr>
                <w:rFonts w:ascii="Times New Roman" w:hAnsi="Times New Roman"/>
                <w:sz w:val="24"/>
                <w:szCs w:val="24"/>
              </w:rPr>
              <w:t>e.g.</w:t>
            </w:r>
            <w:proofErr w:type="gramEnd"/>
            <w:r w:rsidRPr="00703566">
              <w:rPr>
                <w:rFonts w:ascii="Times New Roman" w:hAnsi="Times New Roman"/>
                <w:sz w:val="24"/>
                <w:szCs w:val="24"/>
              </w:rPr>
              <w:t xml:space="preserve"> hands sweaty in the absence of high temperature or physical exertion)</w:t>
            </w:r>
          </w:p>
        </w:tc>
        <w:tc>
          <w:tcPr>
            <w:tcW w:w="2410" w:type="dxa"/>
          </w:tcPr>
          <w:p w14:paraId="493FA380"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0944AF74" w14:textId="77777777" w:rsidTr="008A6F48">
        <w:trPr>
          <w:jc w:val="center"/>
        </w:trPr>
        <w:tc>
          <w:tcPr>
            <w:tcW w:w="7621" w:type="dxa"/>
          </w:tcPr>
          <w:p w14:paraId="5069133A"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20.I felt scared without any good reason</w:t>
            </w:r>
          </w:p>
        </w:tc>
        <w:tc>
          <w:tcPr>
            <w:tcW w:w="2410" w:type="dxa"/>
          </w:tcPr>
          <w:p w14:paraId="6A1380E5"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44514EB8" w14:textId="77777777" w:rsidTr="008A6F48">
        <w:trPr>
          <w:jc w:val="center"/>
        </w:trPr>
        <w:tc>
          <w:tcPr>
            <w:tcW w:w="7621" w:type="dxa"/>
          </w:tcPr>
          <w:p w14:paraId="2B0BBBF3"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21.I felt that life wasn’t worthwhile </w:t>
            </w:r>
          </w:p>
        </w:tc>
        <w:tc>
          <w:tcPr>
            <w:tcW w:w="2410" w:type="dxa"/>
          </w:tcPr>
          <w:p w14:paraId="7C3625B3"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 xml:space="preserve">0        1        2          3  </w:t>
            </w:r>
          </w:p>
        </w:tc>
      </w:tr>
    </w:tbl>
    <w:p w14:paraId="7E45CB12" w14:textId="77777777" w:rsidR="00703566" w:rsidRPr="00703566" w:rsidRDefault="00703566" w:rsidP="00703566">
      <w:pPr>
        <w:tabs>
          <w:tab w:val="left" w:pos="1755"/>
        </w:tabs>
        <w:spacing w:after="200" w:line="480" w:lineRule="auto"/>
        <w:jc w:val="both"/>
        <w:rPr>
          <w:rFonts w:ascii="Times New Roman" w:eastAsia="Calibri" w:hAnsi="Times New Roman" w:cs="Times New Roman"/>
          <w:b/>
          <w:sz w:val="24"/>
          <w:szCs w:val="24"/>
          <w:lang w:val="en-US"/>
        </w:rPr>
      </w:pPr>
    </w:p>
    <w:tbl>
      <w:tblPr>
        <w:tblStyle w:val="TableGrid111"/>
        <w:tblW w:w="10031" w:type="dxa"/>
        <w:jc w:val="center"/>
        <w:tblLook w:val="04A0" w:firstRow="1" w:lastRow="0" w:firstColumn="1" w:lastColumn="0" w:noHBand="0" w:noVBand="1"/>
      </w:tblPr>
      <w:tblGrid>
        <w:gridCol w:w="7621"/>
        <w:gridCol w:w="2410"/>
      </w:tblGrid>
      <w:tr w:rsidR="00703566" w:rsidRPr="00703566" w14:paraId="69489778" w14:textId="77777777" w:rsidTr="008A6F48">
        <w:trPr>
          <w:jc w:val="center"/>
        </w:trPr>
        <w:tc>
          <w:tcPr>
            <w:tcW w:w="7621" w:type="dxa"/>
          </w:tcPr>
          <w:p w14:paraId="568C76C3"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22.I found it hard to wind down</w:t>
            </w:r>
          </w:p>
        </w:tc>
        <w:tc>
          <w:tcPr>
            <w:tcW w:w="2410" w:type="dxa"/>
          </w:tcPr>
          <w:p w14:paraId="65B4EF2E"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2E11FB60" w14:textId="77777777" w:rsidTr="008A6F48">
        <w:trPr>
          <w:jc w:val="center"/>
        </w:trPr>
        <w:tc>
          <w:tcPr>
            <w:tcW w:w="7621" w:type="dxa"/>
          </w:tcPr>
          <w:p w14:paraId="20E7B5AE"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23.I had difficulty in swallowing</w:t>
            </w:r>
          </w:p>
        </w:tc>
        <w:tc>
          <w:tcPr>
            <w:tcW w:w="2410" w:type="dxa"/>
          </w:tcPr>
          <w:p w14:paraId="74319AF1"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4E1A851C" w14:textId="77777777" w:rsidTr="008A6F48">
        <w:trPr>
          <w:jc w:val="center"/>
        </w:trPr>
        <w:tc>
          <w:tcPr>
            <w:tcW w:w="7621" w:type="dxa"/>
          </w:tcPr>
          <w:p w14:paraId="02E5540A"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24.I couldn’t seem to get any enjoyment out of the things I did</w:t>
            </w:r>
          </w:p>
        </w:tc>
        <w:tc>
          <w:tcPr>
            <w:tcW w:w="2410" w:type="dxa"/>
          </w:tcPr>
          <w:p w14:paraId="32D5C605"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1473776D" w14:textId="77777777" w:rsidTr="008A6F48">
        <w:trPr>
          <w:jc w:val="center"/>
        </w:trPr>
        <w:tc>
          <w:tcPr>
            <w:tcW w:w="7621" w:type="dxa"/>
          </w:tcPr>
          <w:p w14:paraId="6A71651A"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25.I was aware of the action of my heart in the absence of physical </w:t>
            </w:r>
            <w:proofErr w:type="gramStart"/>
            <w:r w:rsidRPr="00703566">
              <w:rPr>
                <w:rFonts w:ascii="Times New Roman" w:hAnsi="Times New Roman"/>
                <w:sz w:val="24"/>
                <w:szCs w:val="24"/>
              </w:rPr>
              <w:t>exertion( e.g.</w:t>
            </w:r>
            <w:proofErr w:type="gramEnd"/>
            <w:r w:rsidRPr="00703566">
              <w:rPr>
                <w:rFonts w:ascii="Times New Roman" w:hAnsi="Times New Roman"/>
                <w:sz w:val="24"/>
                <w:szCs w:val="24"/>
              </w:rPr>
              <w:t xml:space="preserve"> sense of heart rate increase, heart missing a beat0</w:t>
            </w:r>
          </w:p>
        </w:tc>
        <w:tc>
          <w:tcPr>
            <w:tcW w:w="2410" w:type="dxa"/>
          </w:tcPr>
          <w:p w14:paraId="1B407FCC"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2ECB7EAE" w14:textId="77777777" w:rsidTr="008A6F48">
        <w:trPr>
          <w:jc w:val="center"/>
        </w:trPr>
        <w:tc>
          <w:tcPr>
            <w:tcW w:w="7621" w:type="dxa"/>
          </w:tcPr>
          <w:p w14:paraId="2CB93A8F"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26.I felt down-hearted and blue</w:t>
            </w:r>
          </w:p>
        </w:tc>
        <w:tc>
          <w:tcPr>
            <w:tcW w:w="2410" w:type="dxa"/>
          </w:tcPr>
          <w:p w14:paraId="59084EFF"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000CBD7B" w14:textId="77777777" w:rsidTr="008A6F48">
        <w:trPr>
          <w:jc w:val="center"/>
        </w:trPr>
        <w:tc>
          <w:tcPr>
            <w:tcW w:w="7621" w:type="dxa"/>
          </w:tcPr>
          <w:p w14:paraId="4FC79E38"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lastRenderedPageBreak/>
              <w:t>27.I found that I was very irritable</w:t>
            </w:r>
          </w:p>
        </w:tc>
        <w:tc>
          <w:tcPr>
            <w:tcW w:w="2410" w:type="dxa"/>
          </w:tcPr>
          <w:p w14:paraId="380DAF59"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4183A9B5" w14:textId="77777777" w:rsidTr="008A6F48">
        <w:trPr>
          <w:jc w:val="center"/>
        </w:trPr>
        <w:tc>
          <w:tcPr>
            <w:tcW w:w="7621" w:type="dxa"/>
          </w:tcPr>
          <w:p w14:paraId="03CDCA7D"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28.I felt I was close to panic</w:t>
            </w:r>
          </w:p>
        </w:tc>
        <w:tc>
          <w:tcPr>
            <w:tcW w:w="2410" w:type="dxa"/>
          </w:tcPr>
          <w:p w14:paraId="08DDD6BC"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706C2CF0" w14:textId="77777777" w:rsidTr="008A6F48">
        <w:trPr>
          <w:jc w:val="center"/>
        </w:trPr>
        <w:tc>
          <w:tcPr>
            <w:tcW w:w="7621" w:type="dxa"/>
          </w:tcPr>
          <w:p w14:paraId="73124A01"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29.I found it hard to calm down after something upset me</w:t>
            </w:r>
          </w:p>
        </w:tc>
        <w:tc>
          <w:tcPr>
            <w:tcW w:w="2410" w:type="dxa"/>
          </w:tcPr>
          <w:p w14:paraId="1FADFA68"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175B037D" w14:textId="77777777" w:rsidTr="008A6F48">
        <w:trPr>
          <w:jc w:val="center"/>
        </w:trPr>
        <w:tc>
          <w:tcPr>
            <w:tcW w:w="7621" w:type="dxa"/>
          </w:tcPr>
          <w:p w14:paraId="0104E622"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30.I feared that I would be thrown by some trivial but unfamiliar task</w:t>
            </w:r>
          </w:p>
        </w:tc>
        <w:tc>
          <w:tcPr>
            <w:tcW w:w="2410" w:type="dxa"/>
          </w:tcPr>
          <w:p w14:paraId="33FD4C0B"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616CA319" w14:textId="77777777" w:rsidTr="008A6F48">
        <w:trPr>
          <w:jc w:val="center"/>
        </w:trPr>
        <w:tc>
          <w:tcPr>
            <w:tcW w:w="7621" w:type="dxa"/>
          </w:tcPr>
          <w:p w14:paraId="19A187F3"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31.I was unable to become enthusiastic about anything</w:t>
            </w:r>
          </w:p>
        </w:tc>
        <w:tc>
          <w:tcPr>
            <w:tcW w:w="2410" w:type="dxa"/>
          </w:tcPr>
          <w:p w14:paraId="64E93394"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57A10107" w14:textId="77777777" w:rsidTr="008A6F48">
        <w:trPr>
          <w:jc w:val="center"/>
        </w:trPr>
        <w:tc>
          <w:tcPr>
            <w:tcW w:w="7621" w:type="dxa"/>
          </w:tcPr>
          <w:p w14:paraId="1FB9CEA6"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32.I found it difficult to tolerate interruptions to what I was doing </w:t>
            </w:r>
          </w:p>
        </w:tc>
        <w:tc>
          <w:tcPr>
            <w:tcW w:w="2410" w:type="dxa"/>
          </w:tcPr>
          <w:p w14:paraId="3639849B"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20B05115" w14:textId="77777777" w:rsidTr="008A6F48">
        <w:trPr>
          <w:jc w:val="center"/>
        </w:trPr>
        <w:tc>
          <w:tcPr>
            <w:tcW w:w="7621" w:type="dxa"/>
          </w:tcPr>
          <w:p w14:paraId="56B157C3"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33.I was in a state of nervous tension</w:t>
            </w:r>
          </w:p>
        </w:tc>
        <w:tc>
          <w:tcPr>
            <w:tcW w:w="2410" w:type="dxa"/>
          </w:tcPr>
          <w:p w14:paraId="6C80B518"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567CCF2C" w14:textId="77777777" w:rsidTr="008A6F48">
        <w:trPr>
          <w:jc w:val="center"/>
        </w:trPr>
        <w:tc>
          <w:tcPr>
            <w:tcW w:w="7621" w:type="dxa"/>
          </w:tcPr>
          <w:p w14:paraId="272353BE"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34.I felt I was pretty worthless</w:t>
            </w:r>
          </w:p>
        </w:tc>
        <w:tc>
          <w:tcPr>
            <w:tcW w:w="2410" w:type="dxa"/>
          </w:tcPr>
          <w:p w14:paraId="115073F2"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7A8D40F8" w14:textId="77777777" w:rsidTr="008A6F48">
        <w:trPr>
          <w:jc w:val="center"/>
        </w:trPr>
        <w:tc>
          <w:tcPr>
            <w:tcW w:w="7621" w:type="dxa"/>
          </w:tcPr>
          <w:p w14:paraId="0D24B709"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35.I was intolerant of anything that kept me from getting on with what I was doing</w:t>
            </w:r>
          </w:p>
        </w:tc>
        <w:tc>
          <w:tcPr>
            <w:tcW w:w="2410" w:type="dxa"/>
          </w:tcPr>
          <w:p w14:paraId="548E84E6"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44D1E27B" w14:textId="77777777" w:rsidTr="008A6F48">
        <w:trPr>
          <w:jc w:val="center"/>
        </w:trPr>
        <w:tc>
          <w:tcPr>
            <w:tcW w:w="7621" w:type="dxa"/>
          </w:tcPr>
          <w:p w14:paraId="18026CFF"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36.I felt terrified</w:t>
            </w:r>
          </w:p>
        </w:tc>
        <w:tc>
          <w:tcPr>
            <w:tcW w:w="2410" w:type="dxa"/>
          </w:tcPr>
          <w:p w14:paraId="301C32B4"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1E526D5E" w14:textId="77777777" w:rsidTr="008A6F48">
        <w:trPr>
          <w:jc w:val="center"/>
        </w:trPr>
        <w:tc>
          <w:tcPr>
            <w:tcW w:w="7621" w:type="dxa"/>
          </w:tcPr>
          <w:p w14:paraId="42EA6046"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37.I could see nothing in the future to be hopeful about</w:t>
            </w:r>
          </w:p>
        </w:tc>
        <w:tc>
          <w:tcPr>
            <w:tcW w:w="2410" w:type="dxa"/>
          </w:tcPr>
          <w:p w14:paraId="347C443B"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71CBBBDD" w14:textId="77777777" w:rsidTr="008A6F48">
        <w:trPr>
          <w:jc w:val="center"/>
        </w:trPr>
        <w:tc>
          <w:tcPr>
            <w:tcW w:w="7621" w:type="dxa"/>
          </w:tcPr>
          <w:p w14:paraId="5B3A7222"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38.I felt that life was meaningless</w:t>
            </w:r>
          </w:p>
        </w:tc>
        <w:tc>
          <w:tcPr>
            <w:tcW w:w="2410" w:type="dxa"/>
          </w:tcPr>
          <w:p w14:paraId="6C396B06"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6649BCA2" w14:textId="77777777" w:rsidTr="008A6F48">
        <w:trPr>
          <w:jc w:val="center"/>
        </w:trPr>
        <w:tc>
          <w:tcPr>
            <w:tcW w:w="7621" w:type="dxa"/>
          </w:tcPr>
          <w:p w14:paraId="2FF302B3"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39.I found myself getting agitated </w:t>
            </w:r>
          </w:p>
        </w:tc>
        <w:tc>
          <w:tcPr>
            <w:tcW w:w="2410" w:type="dxa"/>
          </w:tcPr>
          <w:p w14:paraId="18BB58C8"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74587291" w14:textId="77777777" w:rsidTr="008A6F48">
        <w:trPr>
          <w:jc w:val="center"/>
        </w:trPr>
        <w:tc>
          <w:tcPr>
            <w:tcW w:w="7621" w:type="dxa"/>
          </w:tcPr>
          <w:p w14:paraId="35D673BC"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40.I was worried about situations in which I might panic and make a fool of myself</w:t>
            </w:r>
          </w:p>
        </w:tc>
        <w:tc>
          <w:tcPr>
            <w:tcW w:w="2410" w:type="dxa"/>
          </w:tcPr>
          <w:p w14:paraId="7F22C7D0"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01D46BD7" w14:textId="77777777" w:rsidTr="008A6F48">
        <w:trPr>
          <w:jc w:val="center"/>
        </w:trPr>
        <w:tc>
          <w:tcPr>
            <w:tcW w:w="7621" w:type="dxa"/>
          </w:tcPr>
          <w:p w14:paraId="00301632"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41.I experienced trembling (in the hands)</w:t>
            </w:r>
          </w:p>
        </w:tc>
        <w:tc>
          <w:tcPr>
            <w:tcW w:w="2410" w:type="dxa"/>
          </w:tcPr>
          <w:p w14:paraId="4FD036D5"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r w:rsidR="00703566" w:rsidRPr="00703566" w14:paraId="64167505" w14:textId="77777777" w:rsidTr="008A6F48">
        <w:trPr>
          <w:jc w:val="center"/>
        </w:trPr>
        <w:tc>
          <w:tcPr>
            <w:tcW w:w="7621" w:type="dxa"/>
          </w:tcPr>
          <w:p w14:paraId="4D39CC87"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42.I found it difficult to work up the initiative to do things</w:t>
            </w:r>
          </w:p>
        </w:tc>
        <w:tc>
          <w:tcPr>
            <w:tcW w:w="2410" w:type="dxa"/>
          </w:tcPr>
          <w:p w14:paraId="3D684471"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 xml:space="preserve">0        1        2          3  </w:t>
            </w:r>
          </w:p>
        </w:tc>
      </w:tr>
    </w:tbl>
    <w:p w14:paraId="4C943614" w14:textId="77777777" w:rsidR="00703566" w:rsidRPr="00703566" w:rsidRDefault="00703566" w:rsidP="00703566">
      <w:pPr>
        <w:spacing w:after="0" w:line="480" w:lineRule="auto"/>
        <w:jc w:val="both"/>
        <w:rPr>
          <w:rFonts w:ascii="Times New Roman" w:eastAsia="Times New Roman" w:hAnsi="Times New Roman" w:cs="Times New Roman"/>
          <w:color w:val="000000"/>
          <w:sz w:val="24"/>
          <w:szCs w:val="24"/>
          <w:lang w:val="en-US"/>
        </w:rPr>
      </w:pPr>
    </w:p>
    <w:p w14:paraId="6CEB815E" w14:textId="77777777" w:rsidR="00703566" w:rsidRPr="00703566" w:rsidRDefault="00703566" w:rsidP="00703566">
      <w:pPr>
        <w:spacing w:after="0" w:line="480" w:lineRule="auto"/>
        <w:jc w:val="both"/>
        <w:rPr>
          <w:rFonts w:ascii="Times New Roman" w:eastAsia="Times New Roman" w:hAnsi="Times New Roman" w:cs="Times New Roman"/>
          <w:color w:val="000000"/>
          <w:sz w:val="24"/>
          <w:szCs w:val="24"/>
          <w:lang w:val="en-US"/>
        </w:rPr>
      </w:pPr>
    </w:p>
    <w:p w14:paraId="21CEE6C4" w14:textId="77777777" w:rsidR="00703566" w:rsidRPr="00703566" w:rsidRDefault="00703566" w:rsidP="00703566">
      <w:pPr>
        <w:spacing w:after="0" w:line="480" w:lineRule="auto"/>
        <w:jc w:val="both"/>
        <w:rPr>
          <w:rFonts w:ascii="Times New Roman" w:eastAsia="Times New Roman" w:hAnsi="Times New Roman" w:cs="Times New Roman"/>
          <w:color w:val="000000"/>
          <w:sz w:val="24"/>
          <w:szCs w:val="24"/>
          <w:lang w:val="en-US"/>
        </w:rPr>
      </w:pPr>
    </w:p>
    <w:p w14:paraId="1977AB2C" w14:textId="77777777" w:rsidR="00703566" w:rsidRPr="00703566" w:rsidRDefault="00703566" w:rsidP="00703566">
      <w:pPr>
        <w:spacing w:after="0" w:line="480" w:lineRule="auto"/>
        <w:jc w:val="both"/>
        <w:rPr>
          <w:rFonts w:ascii="Times New Roman" w:eastAsia="Times New Roman" w:hAnsi="Times New Roman" w:cs="Times New Roman"/>
          <w:color w:val="000000"/>
          <w:sz w:val="24"/>
          <w:szCs w:val="24"/>
          <w:lang w:val="en-US"/>
        </w:rPr>
      </w:pPr>
    </w:p>
    <w:p w14:paraId="1EEE72C8" w14:textId="77777777" w:rsidR="00703566" w:rsidRPr="00703566" w:rsidRDefault="00703566" w:rsidP="00703566">
      <w:pPr>
        <w:spacing w:after="0" w:line="480" w:lineRule="auto"/>
        <w:jc w:val="both"/>
        <w:rPr>
          <w:rFonts w:ascii="Times New Roman" w:eastAsia="Times New Roman" w:hAnsi="Times New Roman" w:cs="Times New Roman"/>
          <w:b/>
          <w:bCs/>
          <w:color w:val="000000"/>
          <w:sz w:val="24"/>
          <w:szCs w:val="24"/>
          <w:lang w:val="en-US"/>
        </w:rPr>
      </w:pPr>
      <w:r w:rsidRPr="00703566">
        <w:rPr>
          <w:rFonts w:ascii="Times New Roman" w:eastAsia="Times New Roman" w:hAnsi="Times New Roman" w:cs="Times New Roman"/>
          <w:b/>
          <w:bCs/>
          <w:color w:val="000000"/>
          <w:sz w:val="24"/>
          <w:szCs w:val="24"/>
          <w:lang w:val="en-US"/>
        </w:rPr>
        <w:t>Score interpretation</w:t>
      </w:r>
    </w:p>
    <w:tbl>
      <w:tblPr>
        <w:tblStyle w:val="TableGrid31"/>
        <w:tblpPr w:leftFromText="180" w:rightFromText="180" w:vertAnchor="text" w:horzAnchor="page" w:tblpXSpec="center" w:tblpY="35"/>
        <w:tblW w:w="9918" w:type="dxa"/>
        <w:tblLook w:val="04A0" w:firstRow="1" w:lastRow="0" w:firstColumn="1" w:lastColumn="0" w:noHBand="0" w:noVBand="1"/>
      </w:tblPr>
      <w:tblGrid>
        <w:gridCol w:w="2547"/>
        <w:gridCol w:w="2524"/>
        <w:gridCol w:w="2295"/>
        <w:gridCol w:w="2552"/>
      </w:tblGrid>
      <w:tr w:rsidR="00703566" w:rsidRPr="00703566" w14:paraId="4CCE2EDC" w14:textId="77777777" w:rsidTr="008A6F48">
        <w:trPr>
          <w:trHeight w:val="512"/>
        </w:trPr>
        <w:tc>
          <w:tcPr>
            <w:tcW w:w="2547" w:type="dxa"/>
          </w:tcPr>
          <w:p w14:paraId="3CB6142F"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b/>
                <w:bCs/>
                <w:sz w:val="24"/>
                <w:szCs w:val="24"/>
                <w:lang w:val="en"/>
              </w:rPr>
            </w:pPr>
            <w:r w:rsidRPr="00703566">
              <w:rPr>
                <w:rFonts w:ascii="Times New Roman" w:eastAsia="Calibri" w:hAnsi="Times New Roman" w:cs="Times New Roman"/>
                <w:b/>
                <w:bCs/>
                <w:sz w:val="24"/>
                <w:szCs w:val="24"/>
                <w:lang w:val="en"/>
              </w:rPr>
              <w:t>Meaning</w:t>
            </w:r>
          </w:p>
        </w:tc>
        <w:tc>
          <w:tcPr>
            <w:tcW w:w="2524" w:type="dxa"/>
          </w:tcPr>
          <w:p w14:paraId="30312B63"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b/>
                <w:bCs/>
                <w:sz w:val="24"/>
                <w:szCs w:val="24"/>
                <w:lang w:val="en"/>
              </w:rPr>
            </w:pPr>
            <w:r w:rsidRPr="00703566">
              <w:rPr>
                <w:rFonts w:ascii="Times New Roman" w:eastAsia="Calibri" w:hAnsi="Times New Roman" w:cs="Times New Roman"/>
                <w:b/>
                <w:bCs/>
                <w:sz w:val="24"/>
                <w:szCs w:val="24"/>
                <w:lang w:val="en"/>
              </w:rPr>
              <w:t>Depression</w:t>
            </w:r>
          </w:p>
        </w:tc>
        <w:tc>
          <w:tcPr>
            <w:tcW w:w="2295" w:type="dxa"/>
          </w:tcPr>
          <w:p w14:paraId="695A4669"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b/>
                <w:bCs/>
                <w:sz w:val="24"/>
                <w:szCs w:val="24"/>
                <w:lang w:val="en"/>
              </w:rPr>
            </w:pPr>
            <w:r w:rsidRPr="00703566">
              <w:rPr>
                <w:rFonts w:ascii="Times New Roman" w:eastAsia="Calibri" w:hAnsi="Times New Roman" w:cs="Times New Roman"/>
                <w:b/>
                <w:bCs/>
                <w:sz w:val="24"/>
                <w:szCs w:val="24"/>
                <w:lang w:val="en"/>
              </w:rPr>
              <w:t>Anxiety</w:t>
            </w:r>
          </w:p>
        </w:tc>
        <w:tc>
          <w:tcPr>
            <w:tcW w:w="2552" w:type="dxa"/>
          </w:tcPr>
          <w:p w14:paraId="474C14FE"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b/>
                <w:bCs/>
                <w:sz w:val="24"/>
                <w:szCs w:val="24"/>
                <w:lang w:val="en"/>
              </w:rPr>
            </w:pPr>
            <w:r w:rsidRPr="00703566">
              <w:rPr>
                <w:rFonts w:ascii="Times New Roman" w:eastAsia="Calibri" w:hAnsi="Times New Roman" w:cs="Times New Roman"/>
                <w:b/>
                <w:bCs/>
                <w:sz w:val="24"/>
                <w:szCs w:val="24"/>
                <w:lang w:val="en"/>
              </w:rPr>
              <w:t>Stress</w:t>
            </w:r>
          </w:p>
        </w:tc>
      </w:tr>
      <w:tr w:rsidR="00703566" w:rsidRPr="00703566" w14:paraId="6ACE8EEA" w14:textId="77777777" w:rsidTr="008A6F48">
        <w:trPr>
          <w:trHeight w:val="512"/>
        </w:trPr>
        <w:tc>
          <w:tcPr>
            <w:tcW w:w="2547" w:type="dxa"/>
          </w:tcPr>
          <w:p w14:paraId="1CE89EEB"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lastRenderedPageBreak/>
              <w:t>Normal</w:t>
            </w:r>
          </w:p>
        </w:tc>
        <w:tc>
          <w:tcPr>
            <w:tcW w:w="2524" w:type="dxa"/>
          </w:tcPr>
          <w:p w14:paraId="23254D8D"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0-9</w:t>
            </w:r>
          </w:p>
        </w:tc>
        <w:tc>
          <w:tcPr>
            <w:tcW w:w="2295" w:type="dxa"/>
          </w:tcPr>
          <w:p w14:paraId="691CEC31"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0 -7</w:t>
            </w:r>
          </w:p>
        </w:tc>
        <w:tc>
          <w:tcPr>
            <w:tcW w:w="2552" w:type="dxa"/>
          </w:tcPr>
          <w:p w14:paraId="159E0911"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0 -14</w:t>
            </w:r>
          </w:p>
        </w:tc>
      </w:tr>
      <w:tr w:rsidR="00703566" w:rsidRPr="00703566" w14:paraId="3A7F85FF" w14:textId="77777777" w:rsidTr="008A6F48">
        <w:trPr>
          <w:trHeight w:val="535"/>
        </w:trPr>
        <w:tc>
          <w:tcPr>
            <w:tcW w:w="2547" w:type="dxa"/>
          </w:tcPr>
          <w:p w14:paraId="114D9AA0"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Mild </w:t>
            </w:r>
          </w:p>
        </w:tc>
        <w:tc>
          <w:tcPr>
            <w:tcW w:w="2524" w:type="dxa"/>
          </w:tcPr>
          <w:p w14:paraId="6931AA17"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10_13</w:t>
            </w:r>
          </w:p>
        </w:tc>
        <w:tc>
          <w:tcPr>
            <w:tcW w:w="2295" w:type="dxa"/>
          </w:tcPr>
          <w:p w14:paraId="31571683"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8 -9</w:t>
            </w:r>
          </w:p>
        </w:tc>
        <w:tc>
          <w:tcPr>
            <w:tcW w:w="2552" w:type="dxa"/>
          </w:tcPr>
          <w:p w14:paraId="7507777A"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15- 18</w:t>
            </w:r>
          </w:p>
        </w:tc>
      </w:tr>
      <w:tr w:rsidR="00703566" w:rsidRPr="00703566" w14:paraId="6A41BFF8" w14:textId="77777777" w:rsidTr="008A6F48">
        <w:trPr>
          <w:trHeight w:val="512"/>
        </w:trPr>
        <w:tc>
          <w:tcPr>
            <w:tcW w:w="2547" w:type="dxa"/>
          </w:tcPr>
          <w:p w14:paraId="49445915"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Moderate</w:t>
            </w:r>
          </w:p>
        </w:tc>
        <w:tc>
          <w:tcPr>
            <w:tcW w:w="2524" w:type="dxa"/>
          </w:tcPr>
          <w:p w14:paraId="5E1A657A"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14 -20</w:t>
            </w:r>
          </w:p>
        </w:tc>
        <w:tc>
          <w:tcPr>
            <w:tcW w:w="2295" w:type="dxa"/>
          </w:tcPr>
          <w:p w14:paraId="35B3D3E9"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10-14</w:t>
            </w:r>
          </w:p>
        </w:tc>
        <w:tc>
          <w:tcPr>
            <w:tcW w:w="2552" w:type="dxa"/>
          </w:tcPr>
          <w:p w14:paraId="4ED55C46"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19 -25</w:t>
            </w:r>
          </w:p>
        </w:tc>
      </w:tr>
      <w:tr w:rsidR="00703566" w:rsidRPr="00703566" w14:paraId="423D51E4" w14:textId="77777777" w:rsidTr="008A6F48">
        <w:trPr>
          <w:trHeight w:val="512"/>
        </w:trPr>
        <w:tc>
          <w:tcPr>
            <w:tcW w:w="2547" w:type="dxa"/>
          </w:tcPr>
          <w:p w14:paraId="776E856D"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Severe</w:t>
            </w:r>
          </w:p>
        </w:tc>
        <w:tc>
          <w:tcPr>
            <w:tcW w:w="2524" w:type="dxa"/>
          </w:tcPr>
          <w:p w14:paraId="66019BDC"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21 -27</w:t>
            </w:r>
          </w:p>
        </w:tc>
        <w:tc>
          <w:tcPr>
            <w:tcW w:w="2295" w:type="dxa"/>
          </w:tcPr>
          <w:p w14:paraId="66C52B19"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15-19</w:t>
            </w:r>
          </w:p>
        </w:tc>
        <w:tc>
          <w:tcPr>
            <w:tcW w:w="2552" w:type="dxa"/>
          </w:tcPr>
          <w:p w14:paraId="351358AA"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26_33</w:t>
            </w:r>
          </w:p>
        </w:tc>
      </w:tr>
      <w:tr w:rsidR="00703566" w:rsidRPr="00703566" w14:paraId="302B41CB" w14:textId="77777777" w:rsidTr="008A6F48">
        <w:trPr>
          <w:trHeight w:val="512"/>
        </w:trPr>
        <w:tc>
          <w:tcPr>
            <w:tcW w:w="2547" w:type="dxa"/>
          </w:tcPr>
          <w:p w14:paraId="457B7364"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Extreme</w:t>
            </w:r>
          </w:p>
        </w:tc>
        <w:tc>
          <w:tcPr>
            <w:tcW w:w="2524" w:type="dxa"/>
          </w:tcPr>
          <w:p w14:paraId="2C069BD2"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28 +</w:t>
            </w:r>
          </w:p>
        </w:tc>
        <w:tc>
          <w:tcPr>
            <w:tcW w:w="2295" w:type="dxa"/>
          </w:tcPr>
          <w:p w14:paraId="14948EA0"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20</w:t>
            </w:r>
          </w:p>
        </w:tc>
        <w:tc>
          <w:tcPr>
            <w:tcW w:w="2552" w:type="dxa"/>
          </w:tcPr>
          <w:p w14:paraId="2230409B" w14:textId="77777777" w:rsidR="00703566" w:rsidRPr="00703566" w:rsidRDefault="00703566" w:rsidP="00703566">
            <w:pPr>
              <w:widowControl w:val="0"/>
              <w:autoSpaceDE w:val="0"/>
              <w:autoSpaceDN w:val="0"/>
              <w:adjustRightInd w:val="0"/>
              <w:spacing w:after="200" w:line="276"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33 +</w:t>
            </w:r>
          </w:p>
        </w:tc>
      </w:tr>
    </w:tbl>
    <w:p w14:paraId="0687C72A"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p>
    <w:p w14:paraId="21F05580"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b/>
          <w:bCs/>
          <w:sz w:val="24"/>
          <w:szCs w:val="24"/>
          <w:u w:val="single"/>
          <w:lang w:val="en"/>
        </w:rPr>
      </w:pPr>
      <w:r w:rsidRPr="00703566">
        <w:rPr>
          <w:rFonts w:ascii="Times New Roman" w:eastAsia="Calibri" w:hAnsi="Times New Roman" w:cs="Times New Roman"/>
          <w:b/>
          <w:bCs/>
          <w:sz w:val="24"/>
          <w:szCs w:val="24"/>
          <w:u w:val="single"/>
          <w:lang w:val="en"/>
        </w:rPr>
        <w:t>4 AT + Tool for Identifying Delirium</w:t>
      </w:r>
    </w:p>
    <w:p w14:paraId="1C0CCEAB"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b/>
          <w:bCs/>
          <w:sz w:val="24"/>
          <w:szCs w:val="24"/>
          <w:lang w:val="en"/>
        </w:rPr>
      </w:pPr>
      <w:r w:rsidRPr="00703566">
        <w:rPr>
          <w:rFonts w:ascii="Times New Roman" w:eastAsia="Calibri" w:hAnsi="Times New Roman" w:cs="Times New Roman"/>
          <w:b/>
          <w:bCs/>
          <w:sz w:val="24"/>
          <w:szCs w:val="24"/>
          <w:lang w:val="en"/>
        </w:rPr>
        <w:t>1. Alertness</w:t>
      </w:r>
    </w:p>
    <w:p w14:paraId="32612E52"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this includes patients who may be markedly drowsy (</w:t>
      </w:r>
      <w:proofErr w:type="spellStart"/>
      <w:r w:rsidRPr="00703566">
        <w:rPr>
          <w:rFonts w:ascii="Times New Roman" w:eastAsia="Calibri" w:hAnsi="Times New Roman" w:cs="Times New Roman"/>
          <w:sz w:val="24"/>
          <w:szCs w:val="24"/>
          <w:lang w:val="en"/>
        </w:rPr>
        <w:t>eg.</w:t>
      </w:r>
      <w:proofErr w:type="spellEnd"/>
      <w:r w:rsidRPr="00703566">
        <w:rPr>
          <w:rFonts w:ascii="Times New Roman" w:eastAsia="Calibri" w:hAnsi="Times New Roman" w:cs="Times New Roman"/>
          <w:sz w:val="24"/>
          <w:szCs w:val="24"/>
          <w:lang w:val="en"/>
        </w:rPr>
        <w:t xml:space="preserve"> difficult to rouse and/or obviously sleepy during assessment) or agitated hyper active. observe the patient if asleep, attempt </w:t>
      </w:r>
      <w:proofErr w:type="gramStart"/>
      <w:r w:rsidRPr="00703566">
        <w:rPr>
          <w:rFonts w:ascii="Times New Roman" w:eastAsia="Calibri" w:hAnsi="Times New Roman" w:cs="Times New Roman"/>
          <w:sz w:val="24"/>
          <w:szCs w:val="24"/>
          <w:lang w:val="en"/>
        </w:rPr>
        <w:t>to  wake</w:t>
      </w:r>
      <w:proofErr w:type="gramEnd"/>
      <w:r w:rsidRPr="00703566">
        <w:rPr>
          <w:rFonts w:ascii="Times New Roman" w:eastAsia="Calibri" w:hAnsi="Times New Roman" w:cs="Times New Roman"/>
          <w:sz w:val="24"/>
          <w:szCs w:val="24"/>
          <w:lang w:val="en"/>
        </w:rPr>
        <w:t xml:space="preserve"> with speech or gentle touch on shoulder. ask the patient state their name and address to assist rating.</w:t>
      </w:r>
    </w:p>
    <w:p w14:paraId="553ABC1B"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Normal (fully alert, but not </w:t>
      </w:r>
      <w:proofErr w:type="gramStart"/>
      <w:r w:rsidRPr="00703566">
        <w:rPr>
          <w:rFonts w:ascii="Times New Roman" w:eastAsia="Calibri" w:hAnsi="Times New Roman" w:cs="Times New Roman"/>
          <w:sz w:val="24"/>
          <w:szCs w:val="24"/>
          <w:lang w:val="en"/>
        </w:rPr>
        <w:t xml:space="preserve">agitated)   </w:t>
      </w:r>
      <w:proofErr w:type="gramEnd"/>
      <w:r w:rsidRPr="00703566">
        <w:rPr>
          <w:rFonts w:ascii="Times New Roman" w:eastAsia="Calibri" w:hAnsi="Times New Roman" w:cs="Times New Roman"/>
          <w:sz w:val="24"/>
          <w:szCs w:val="24"/>
          <w:lang w:val="en"/>
        </w:rPr>
        <w:t xml:space="preserve">                                         0</w:t>
      </w:r>
    </w:p>
    <w:p w14:paraId="494F3A1D"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Mild sleepiness for &lt; 10 second</w:t>
      </w:r>
      <w:r w:rsidRPr="00703566">
        <w:rPr>
          <w:rFonts w:ascii="Times New Roman" w:eastAsia="Calibri" w:hAnsi="Times New Roman" w:cs="Times New Roman"/>
          <w:sz w:val="24"/>
          <w:szCs w:val="24"/>
          <w:lang w:val="en"/>
        </w:rPr>
        <w:tab/>
        <w:t xml:space="preserve">                                          0</w:t>
      </w:r>
    </w:p>
    <w:p w14:paraId="7F75505C"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Clearly abnormal                                                                           4</w:t>
      </w:r>
    </w:p>
    <w:p w14:paraId="5298D3DB"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p>
    <w:p w14:paraId="4C044AE8"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2. AMT4</w:t>
      </w:r>
    </w:p>
    <w:p w14:paraId="5BBA71A8"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Age, date of </w:t>
      </w:r>
      <w:proofErr w:type="gramStart"/>
      <w:r w:rsidRPr="00703566">
        <w:rPr>
          <w:rFonts w:ascii="Times New Roman" w:eastAsia="Calibri" w:hAnsi="Times New Roman" w:cs="Times New Roman"/>
          <w:sz w:val="24"/>
          <w:szCs w:val="24"/>
          <w:lang w:val="en"/>
        </w:rPr>
        <w:t>birth ,</w:t>
      </w:r>
      <w:proofErr w:type="gramEnd"/>
      <w:r w:rsidRPr="00703566">
        <w:rPr>
          <w:rFonts w:ascii="Times New Roman" w:eastAsia="Calibri" w:hAnsi="Times New Roman" w:cs="Times New Roman"/>
          <w:sz w:val="24"/>
          <w:szCs w:val="24"/>
          <w:lang w:val="en"/>
        </w:rPr>
        <w:t xml:space="preserve"> place, current year</w:t>
      </w:r>
    </w:p>
    <w:p w14:paraId="1AA72FE5"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No mistake                                                                                         0</w:t>
      </w:r>
    </w:p>
    <w:p w14:paraId="1AE53351"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One mistake</w:t>
      </w:r>
      <w:r w:rsidRPr="00703566">
        <w:rPr>
          <w:rFonts w:ascii="Times New Roman" w:eastAsia="Calibri" w:hAnsi="Times New Roman" w:cs="Times New Roman"/>
          <w:sz w:val="24"/>
          <w:szCs w:val="24"/>
          <w:lang w:val="en"/>
        </w:rPr>
        <w:tab/>
      </w:r>
      <w:r w:rsidRPr="00703566">
        <w:rPr>
          <w:rFonts w:ascii="Times New Roman" w:eastAsia="Calibri" w:hAnsi="Times New Roman" w:cs="Times New Roman"/>
          <w:sz w:val="24"/>
          <w:szCs w:val="24"/>
          <w:lang w:val="en"/>
        </w:rPr>
        <w:tab/>
      </w:r>
      <w:r w:rsidRPr="00703566">
        <w:rPr>
          <w:rFonts w:ascii="Times New Roman" w:eastAsia="Calibri" w:hAnsi="Times New Roman" w:cs="Times New Roman"/>
          <w:sz w:val="24"/>
          <w:szCs w:val="24"/>
          <w:lang w:val="en"/>
        </w:rPr>
        <w:tab/>
      </w:r>
      <w:r w:rsidRPr="00703566">
        <w:rPr>
          <w:rFonts w:ascii="Times New Roman" w:eastAsia="Calibri" w:hAnsi="Times New Roman" w:cs="Times New Roman"/>
          <w:sz w:val="24"/>
          <w:szCs w:val="24"/>
          <w:lang w:val="en"/>
        </w:rPr>
        <w:tab/>
      </w:r>
      <w:r w:rsidRPr="00703566">
        <w:rPr>
          <w:rFonts w:ascii="Times New Roman" w:eastAsia="Calibri" w:hAnsi="Times New Roman" w:cs="Times New Roman"/>
          <w:sz w:val="24"/>
          <w:szCs w:val="24"/>
          <w:lang w:val="en"/>
        </w:rPr>
        <w:tab/>
      </w:r>
      <w:r w:rsidRPr="00703566">
        <w:rPr>
          <w:rFonts w:ascii="Times New Roman" w:eastAsia="Calibri" w:hAnsi="Times New Roman" w:cs="Times New Roman"/>
          <w:sz w:val="24"/>
          <w:szCs w:val="24"/>
          <w:lang w:val="en"/>
        </w:rPr>
        <w:tab/>
        <w:t xml:space="preserve">          </w:t>
      </w:r>
      <w:r w:rsidRPr="00703566">
        <w:rPr>
          <w:rFonts w:ascii="Times New Roman" w:eastAsia="Calibri" w:hAnsi="Times New Roman" w:cs="Times New Roman"/>
          <w:sz w:val="24"/>
          <w:szCs w:val="24"/>
          <w:lang w:val="en"/>
        </w:rPr>
        <w:tab/>
      </w:r>
      <w:r w:rsidRPr="00703566">
        <w:rPr>
          <w:rFonts w:ascii="Times New Roman" w:eastAsia="Calibri" w:hAnsi="Times New Roman" w:cs="Times New Roman"/>
          <w:sz w:val="24"/>
          <w:szCs w:val="24"/>
          <w:lang w:val="en"/>
        </w:rPr>
        <w:tab/>
        <w:t>1</w:t>
      </w:r>
    </w:p>
    <w:p w14:paraId="65EE7D12"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Two or more mistakes/ untestable                                                       2</w:t>
      </w:r>
    </w:p>
    <w:p w14:paraId="094102CB"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p>
    <w:p w14:paraId="1E14E4C3"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3. ATTENTION</w:t>
      </w:r>
    </w:p>
    <w:p w14:paraId="2298DD77"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Ask the patient; please of tell me the months of the year in backwards order, starting at December'. to assist initial understanding one prompt of "what is the month before December?" is permitted.</w:t>
      </w:r>
    </w:p>
    <w:p w14:paraId="5D74E2CA"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Months of the year backward   </w:t>
      </w:r>
    </w:p>
    <w:p w14:paraId="682D40F0"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achieves seven months or more correctly                                           0</w:t>
      </w:r>
    </w:p>
    <w:p w14:paraId="2B21240F"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starts but score less than 7 month / refused to start                            1</w:t>
      </w:r>
    </w:p>
    <w:p w14:paraId="31712A5E"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untestable (cannot start because </w:t>
      </w:r>
      <w:proofErr w:type="gramStart"/>
      <w:r w:rsidRPr="00703566">
        <w:rPr>
          <w:rFonts w:ascii="Times New Roman" w:eastAsia="Calibri" w:hAnsi="Times New Roman" w:cs="Times New Roman"/>
          <w:sz w:val="24"/>
          <w:szCs w:val="24"/>
          <w:lang w:val="en"/>
        </w:rPr>
        <w:t>unwell ,</w:t>
      </w:r>
      <w:proofErr w:type="gramEnd"/>
      <w:r w:rsidRPr="00703566">
        <w:rPr>
          <w:rFonts w:ascii="Times New Roman" w:eastAsia="Calibri" w:hAnsi="Times New Roman" w:cs="Times New Roman"/>
          <w:sz w:val="24"/>
          <w:szCs w:val="24"/>
          <w:lang w:val="en"/>
        </w:rPr>
        <w:t xml:space="preserve"> drowsy, inattentive)           2</w:t>
      </w:r>
    </w:p>
    <w:p w14:paraId="5D732699"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4. ACUTE CHANGE OR FLUCTUATING COURSE</w:t>
      </w:r>
    </w:p>
    <w:p w14:paraId="259C9C3E"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Evidence of significance change or fluctuation in alertness, cognition, other mental </w:t>
      </w:r>
      <w:proofErr w:type="gramStart"/>
      <w:r w:rsidRPr="00703566">
        <w:rPr>
          <w:rFonts w:ascii="Times New Roman" w:eastAsia="Calibri" w:hAnsi="Times New Roman" w:cs="Times New Roman"/>
          <w:sz w:val="24"/>
          <w:szCs w:val="24"/>
          <w:lang w:val="en"/>
        </w:rPr>
        <w:t xml:space="preserve">function( </w:t>
      </w:r>
      <w:proofErr w:type="spellStart"/>
      <w:r w:rsidRPr="00703566">
        <w:rPr>
          <w:rFonts w:ascii="Times New Roman" w:eastAsia="Calibri" w:hAnsi="Times New Roman" w:cs="Times New Roman"/>
          <w:sz w:val="24"/>
          <w:szCs w:val="24"/>
          <w:lang w:val="en"/>
        </w:rPr>
        <w:t>eg</w:t>
      </w:r>
      <w:proofErr w:type="spellEnd"/>
      <w:proofErr w:type="gramEnd"/>
      <w:r w:rsidRPr="00703566">
        <w:rPr>
          <w:rFonts w:ascii="Times New Roman" w:eastAsia="Calibri" w:hAnsi="Times New Roman" w:cs="Times New Roman"/>
          <w:sz w:val="24"/>
          <w:szCs w:val="24"/>
          <w:lang w:val="en"/>
        </w:rPr>
        <w:t xml:space="preserve"> paranoia, hallucinations0 arising over the last two weeks and still evident in last 24 hours</w:t>
      </w:r>
    </w:p>
    <w:p w14:paraId="0422B624"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   No                                                                                                                       0</w:t>
      </w:r>
    </w:p>
    <w:p w14:paraId="42B23EB9"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 xml:space="preserve">   Yes                                                                                                                      4                                                                                                                       </w:t>
      </w:r>
    </w:p>
    <w:p w14:paraId="4B1D0929"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SCORE</w:t>
      </w:r>
    </w:p>
    <w:p w14:paraId="33F54E73"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4 Or above - possible delirium +/- cognitive impairment</w:t>
      </w:r>
    </w:p>
    <w:p w14:paraId="64CF6279"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1-3 possible cognitive impairment</w:t>
      </w:r>
    </w:p>
    <w:p w14:paraId="0301ADDA" w14:textId="77777777" w:rsidR="00703566" w:rsidRPr="00703566" w:rsidRDefault="00703566" w:rsidP="00703566">
      <w:pPr>
        <w:widowControl w:val="0"/>
        <w:autoSpaceDE w:val="0"/>
        <w:autoSpaceDN w:val="0"/>
        <w:adjustRightInd w:val="0"/>
        <w:spacing w:after="200" w:line="480" w:lineRule="auto"/>
        <w:jc w:val="both"/>
        <w:rPr>
          <w:rFonts w:ascii="Times New Roman" w:eastAsia="Calibri" w:hAnsi="Times New Roman" w:cs="Times New Roman"/>
          <w:sz w:val="24"/>
          <w:szCs w:val="24"/>
          <w:lang w:val="en"/>
        </w:rPr>
      </w:pPr>
      <w:r w:rsidRPr="00703566">
        <w:rPr>
          <w:rFonts w:ascii="Times New Roman" w:eastAsia="Calibri" w:hAnsi="Times New Roman" w:cs="Times New Roman"/>
          <w:sz w:val="24"/>
          <w:szCs w:val="24"/>
          <w:lang w:val="en"/>
        </w:rPr>
        <w:t>0- delirium or severe cognitive impairment</w:t>
      </w:r>
    </w:p>
    <w:p w14:paraId="72773B44"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u w:val="single"/>
          <w:lang w:val="en-US"/>
        </w:rPr>
      </w:pPr>
    </w:p>
    <w:p w14:paraId="63298CF3"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u w:val="single"/>
          <w:lang w:val="en-US"/>
        </w:rPr>
      </w:pPr>
    </w:p>
    <w:p w14:paraId="4C1130C0"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u w:val="single"/>
          <w:lang w:val="en-US"/>
        </w:rPr>
      </w:pPr>
      <w:r w:rsidRPr="00703566">
        <w:rPr>
          <w:rFonts w:ascii="Times New Roman" w:eastAsia="Times New Roman" w:hAnsi="Times New Roman" w:cs="Times New Roman"/>
          <w:b/>
          <w:color w:val="000000"/>
          <w:sz w:val="24"/>
          <w:szCs w:val="24"/>
          <w:u w:val="single"/>
          <w:lang w:val="en-US"/>
        </w:rPr>
        <w:lastRenderedPageBreak/>
        <w:t xml:space="preserve">Treatment modalities </w:t>
      </w:r>
    </w:p>
    <w:p w14:paraId="4A8813DC"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u w:val="single"/>
          <w:lang w:val="en-US"/>
        </w:rPr>
      </w:pPr>
    </w:p>
    <w:p w14:paraId="616EBE27" w14:textId="77777777" w:rsidR="00703566" w:rsidRPr="00703566" w:rsidRDefault="00703566" w:rsidP="00703566">
      <w:pPr>
        <w:numPr>
          <w:ilvl w:val="0"/>
          <w:numId w:val="29"/>
        </w:numPr>
        <w:spacing w:after="0" w:line="480" w:lineRule="auto"/>
        <w:contextualSpacing/>
        <w:jc w:val="both"/>
        <w:rPr>
          <w:rFonts w:ascii="Times New Roman" w:eastAsia="Times New Roman" w:hAnsi="Times New Roman" w:cs="Times New Roman"/>
          <w:b/>
          <w:color w:val="000000"/>
          <w:sz w:val="24"/>
          <w:szCs w:val="24"/>
          <w:u w:val="single"/>
          <w:lang w:val="en-US"/>
        </w:rPr>
      </w:pPr>
      <w:r w:rsidRPr="00703566">
        <w:rPr>
          <w:rFonts w:ascii="Times New Roman" w:eastAsia="Times New Roman" w:hAnsi="Times New Roman" w:cs="Times New Roman"/>
          <w:color w:val="000000"/>
          <w:sz w:val="24"/>
          <w:szCs w:val="24"/>
          <w:lang w:val="en-US"/>
        </w:rPr>
        <w:t>Which type of treatment modalities used?  drug/ rest /infusion of intravenous fluid</w:t>
      </w:r>
    </w:p>
    <w:p w14:paraId="7081D933" w14:textId="77777777" w:rsidR="00703566" w:rsidRPr="00703566" w:rsidRDefault="00703566" w:rsidP="00703566">
      <w:pPr>
        <w:numPr>
          <w:ilvl w:val="0"/>
          <w:numId w:val="29"/>
        </w:numPr>
        <w:spacing w:after="0" w:line="480" w:lineRule="auto"/>
        <w:contextualSpacing/>
        <w:jc w:val="both"/>
        <w:rPr>
          <w:rFonts w:ascii="Times New Roman" w:eastAsia="Times New Roman" w:hAnsi="Times New Roman" w:cs="Times New Roman"/>
          <w:b/>
          <w:color w:val="000000"/>
          <w:sz w:val="24"/>
          <w:szCs w:val="24"/>
          <w:u w:val="single"/>
          <w:lang w:val="en-US"/>
        </w:rPr>
      </w:pPr>
      <w:proofErr w:type="gramStart"/>
      <w:r w:rsidRPr="00703566">
        <w:rPr>
          <w:rFonts w:ascii="Times New Roman" w:eastAsia="Times New Roman" w:hAnsi="Times New Roman" w:cs="Times New Roman"/>
          <w:color w:val="000000"/>
          <w:sz w:val="24"/>
          <w:szCs w:val="24"/>
          <w:lang w:val="en-US"/>
        </w:rPr>
        <w:t>Is</w:t>
      </w:r>
      <w:proofErr w:type="gramEnd"/>
      <w:r w:rsidRPr="00703566">
        <w:rPr>
          <w:rFonts w:ascii="Times New Roman" w:eastAsia="Times New Roman" w:hAnsi="Times New Roman" w:cs="Times New Roman"/>
          <w:color w:val="000000"/>
          <w:sz w:val="24"/>
          <w:szCs w:val="24"/>
          <w:lang w:val="en-US"/>
        </w:rPr>
        <w:t xml:space="preserve"> the treatment modalities effective? yes / no</w:t>
      </w:r>
    </w:p>
    <w:p w14:paraId="40765D1B" w14:textId="77777777" w:rsidR="00703566" w:rsidRPr="00703566" w:rsidRDefault="00703566" w:rsidP="00703566">
      <w:pPr>
        <w:spacing w:after="0" w:line="480" w:lineRule="auto"/>
        <w:jc w:val="both"/>
        <w:rPr>
          <w:rFonts w:ascii="Times New Roman" w:eastAsia="Times New Roman" w:hAnsi="Times New Roman" w:cs="Times New Roman"/>
          <w:color w:val="000000"/>
          <w:sz w:val="24"/>
          <w:szCs w:val="24"/>
          <w:lang w:val="en-US"/>
        </w:rPr>
      </w:pPr>
    </w:p>
    <w:p w14:paraId="17DEBE16"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572F0D56"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431F70B0"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2832DE9D"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4292FC3C"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1BE3636A"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7D699645"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56B6E12E"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40E99553"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5C127568"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4B2EF1F8"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6305931B"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67E94EBE"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7C7ECA5A"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2725DE26"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72C83098"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04FD1A6E"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7CEB8DF4"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73B1B8FB" w14:textId="77777777" w:rsidR="00703566" w:rsidRPr="00703566" w:rsidRDefault="00703566" w:rsidP="00703566">
      <w:pPr>
        <w:spacing w:after="0" w:line="480" w:lineRule="auto"/>
        <w:jc w:val="both"/>
        <w:rPr>
          <w:rFonts w:ascii="Times New Roman" w:eastAsia="Times New Roman" w:hAnsi="Times New Roman" w:cs="Times New Roman"/>
          <w:b/>
          <w:color w:val="000000"/>
          <w:sz w:val="24"/>
          <w:szCs w:val="24"/>
          <w:lang w:val="en-US"/>
        </w:rPr>
      </w:pPr>
    </w:p>
    <w:p w14:paraId="04127265" w14:textId="77777777" w:rsidR="00703566" w:rsidRPr="00703566" w:rsidRDefault="00703566" w:rsidP="00703566">
      <w:pPr>
        <w:spacing w:after="0" w:line="480" w:lineRule="auto"/>
        <w:ind w:left="2160" w:firstLine="720"/>
        <w:jc w:val="both"/>
        <w:rPr>
          <w:rFonts w:ascii="Times New Roman" w:eastAsia="Times New Roman" w:hAnsi="Times New Roman" w:cs="Times New Roman"/>
          <w:b/>
          <w:color w:val="000000"/>
          <w:sz w:val="28"/>
          <w:szCs w:val="28"/>
          <w:lang w:val="en-US"/>
        </w:rPr>
      </w:pPr>
    </w:p>
    <w:p w14:paraId="52BB2DE2" w14:textId="77777777" w:rsidR="00703566" w:rsidRPr="00703566" w:rsidRDefault="00703566" w:rsidP="00703566">
      <w:pPr>
        <w:spacing w:after="0" w:line="480" w:lineRule="auto"/>
        <w:ind w:left="2160" w:firstLine="720"/>
        <w:jc w:val="both"/>
        <w:rPr>
          <w:rFonts w:ascii="Times New Roman" w:eastAsia="Times New Roman" w:hAnsi="Times New Roman" w:cs="Times New Roman"/>
          <w:b/>
          <w:color w:val="000000"/>
          <w:sz w:val="28"/>
          <w:szCs w:val="28"/>
          <w:lang w:val="en-US"/>
        </w:rPr>
      </w:pPr>
      <w:r w:rsidRPr="00703566">
        <w:rPr>
          <w:rFonts w:ascii="Times New Roman" w:eastAsia="Times New Roman" w:hAnsi="Times New Roman" w:cs="Times New Roman"/>
          <w:b/>
          <w:color w:val="000000"/>
          <w:sz w:val="28"/>
          <w:szCs w:val="28"/>
          <w:lang w:val="en-US"/>
        </w:rPr>
        <w:lastRenderedPageBreak/>
        <w:t>APPENDIX NO: 2</w:t>
      </w:r>
    </w:p>
    <w:p w14:paraId="71DC22D9" w14:textId="77777777" w:rsidR="00703566" w:rsidRPr="00703566" w:rsidRDefault="00703566" w:rsidP="00703566">
      <w:pPr>
        <w:spacing w:after="0" w:line="480" w:lineRule="auto"/>
        <w:ind w:left="1440" w:firstLine="720"/>
        <w:jc w:val="both"/>
        <w:rPr>
          <w:rFonts w:ascii="Times New Roman" w:eastAsia="Times New Roman" w:hAnsi="Times New Roman" w:cs="Times New Roman"/>
          <w:b/>
          <w:color w:val="000000"/>
          <w:sz w:val="24"/>
          <w:szCs w:val="24"/>
          <w:lang w:val="en-US"/>
        </w:rPr>
      </w:pPr>
      <w:r w:rsidRPr="00703566">
        <w:rPr>
          <w:rFonts w:ascii="Times New Roman" w:eastAsia="Times New Roman" w:hAnsi="Times New Roman" w:cs="Times New Roman"/>
          <w:b/>
          <w:color w:val="000000"/>
          <w:sz w:val="24"/>
          <w:szCs w:val="24"/>
          <w:lang w:val="en-US"/>
        </w:rPr>
        <w:t xml:space="preserve">       STATISTICAL APPRAISAL</w:t>
      </w:r>
    </w:p>
    <w:p w14:paraId="2531C051" w14:textId="77777777" w:rsidR="00703566" w:rsidRPr="00703566" w:rsidRDefault="00703566" w:rsidP="00703566">
      <w:pPr>
        <w:spacing w:after="200" w:line="480" w:lineRule="auto"/>
        <w:jc w:val="both"/>
        <w:rPr>
          <w:rFonts w:ascii="Times New Roman" w:eastAsia="Calibri" w:hAnsi="Times New Roman" w:cs="Times New Roman"/>
          <w:b/>
          <w:bCs/>
          <w:sz w:val="24"/>
          <w:szCs w:val="24"/>
          <w:lang w:val="en-US"/>
        </w:rPr>
      </w:pPr>
      <w:r w:rsidRPr="00703566">
        <w:rPr>
          <w:rFonts w:ascii="Times New Roman" w:eastAsia="Calibri" w:hAnsi="Times New Roman" w:cs="Times New Roman"/>
          <w:b/>
          <w:bCs/>
          <w:sz w:val="24"/>
          <w:szCs w:val="24"/>
          <w:lang w:val="en-US"/>
        </w:rPr>
        <w:t>Kolmogorov-Smirnov Test</w:t>
      </w:r>
    </w:p>
    <w:p w14:paraId="00ABA30B"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In statistics, the Kolmogorov–Smirnov test (</w:t>
      </w:r>
      <w:r w:rsidRPr="00703566">
        <w:rPr>
          <w:rFonts w:ascii="Times New Roman" w:eastAsia="Calibri" w:hAnsi="Times New Roman" w:cs="Times New Roman"/>
          <w:i/>
          <w:sz w:val="24"/>
          <w:szCs w:val="24"/>
          <w:lang w:val="en-US"/>
        </w:rPr>
        <w:t>K</w:t>
      </w:r>
      <w:r w:rsidRPr="00703566">
        <w:rPr>
          <w:rFonts w:ascii="Times New Roman" w:eastAsia="Calibri" w:hAnsi="Times New Roman" w:cs="Times New Roman"/>
          <w:sz w:val="24"/>
          <w:szCs w:val="24"/>
          <w:lang w:val="en-US"/>
        </w:rPr>
        <w:t>–</w:t>
      </w:r>
      <w:proofErr w:type="spellStart"/>
      <w:r w:rsidRPr="00703566">
        <w:rPr>
          <w:rFonts w:ascii="Times New Roman" w:eastAsia="Calibri" w:hAnsi="Times New Roman" w:cs="Times New Roman"/>
          <w:i/>
          <w:sz w:val="24"/>
          <w:szCs w:val="24"/>
          <w:lang w:val="en-US"/>
        </w:rPr>
        <w:t>Stestor</w:t>
      </w:r>
      <w:proofErr w:type="spellEnd"/>
      <w:r w:rsidRPr="00703566">
        <w:rPr>
          <w:rFonts w:ascii="Times New Roman" w:eastAsia="Calibri" w:hAnsi="Times New Roman" w:cs="Times New Roman"/>
          <w:i/>
          <w:sz w:val="24"/>
          <w:szCs w:val="24"/>
          <w:lang w:val="en-US"/>
        </w:rPr>
        <w:t xml:space="preserve"> KS test</w:t>
      </w:r>
      <w:r w:rsidRPr="00703566">
        <w:rPr>
          <w:rFonts w:ascii="Times New Roman" w:eastAsia="Calibri" w:hAnsi="Times New Roman" w:cs="Times New Roman"/>
          <w:sz w:val="24"/>
          <w:szCs w:val="24"/>
          <w:lang w:val="en-US"/>
        </w:rPr>
        <w:t>) is a non-parametric test of the equality of continuous (</w:t>
      </w:r>
      <w:r w:rsidRPr="00703566">
        <w:rPr>
          <w:rFonts w:ascii="Times New Roman" w:eastAsia="Calibri" w:hAnsi="Times New Roman" w:cs="Times New Roman"/>
          <w:i/>
          <w:sz w:val="24"/>
          <w:szCs w:val="24"/>
          <w:lang w:val="en-US"/>
        </w:rPr>
        <w:t>or discontinuous</w:t>
      </w:r>
      <w:r w:rsidRPr="00703566">
        <w:rPr>
          <w:rFonts w:ascii="Times New Roman" w:eastAsia="Calibri" w:hAnsi="Times New Roman" w:cs="Times New Roman"/>
          <w:sz w:val="24"/>
          <w:szCs w:val="24"/>
          <w:lang w:val="en-US"/>
        </w:rPr>
        <w:t>) one-dimensional probability distributions that can be used to compare a sample with a reference probability distribution (</w:t>
      </w:r>
      <w:r w:rsidRPr="00703566">
        <w:rPr>
          <w:rFonts w:ascii="Times New Roman" w:eastAsia="Calibri" w:hAnsi="Times New Roman" w:cs="Times New Roman"/>
          <w:i/>
          <w:sz w:val="24"/>
          <w:szCs w:val="24"/>
          <w:lang w:val="en-US"/>
        </w:rPr>
        <w:t xml:space="preserve">one </w:t>
      </w:r>
      <w:r w:rsidRPr="00703566">
        <w:rPr>
          <w:rFonts w:ascii="Times New Roman" w:eastAsia="Calibri" w:hAnsi="Times New Roman" w:cs="Times New Roman"/>
          <w:sz w:val="24"/>
          <w:szCs w:val="24"/>
          <w:lang w:val="en-US"/>
        </w:rPr>
        <w:t xml:space="preserve">– </w:t>
      </w:r>
      <w:r w:rsidRPr="00703566">
        <w:rPr>
          <w:rFonts w:ascii="Times New Roman" w:eastAsia="Calibri" w:hAnsi="Times New Roman" w:cs="Times New Roman"/>
          <w:i/>
          <w:sz w:val="24"/>
          <w:szCs w:val="24"/>
          <w:lang w:val="en-US"/>
        </w:rPr>
        <w:t>sample K</w:t>
      </w:r>
      <w:r w:rsidRPr="00703566">
        <w:rPr>
          <w:rFonts w:ascii="Times New Roman" w:eastAsia="Calibri" w:hAnsi="Times New Roman" w:cs="Times New Roman"/>
          <w:sz w:val="24"/>
          <w:szCs w:val="24"/>
          <w:lang w:val="en-US"/>
        </w:rPr>
        <w:t>–</w:t>
      </w:r>
      <w:r w:rsidRPr="00703566">
        <w:rPr>
          <w:rFonts w:ascii="Times New Roman" w:eastAsia="Calibri" w:hAnsi="Times New Roman" w:cs="Times New Roman"/>
          <w:i/>
          <w:sz w:val="24"/>
          <w:szCs w:val="24"/>
          <w:lang w:val="en-US"/>
        </w:rPr>
        <w:t>S test</w:t>
      </w:r>
      <w:r w:rsidRPr="00703566">
        <w:rPr>
          <w:rFonts w:ascii="Times New Roman" w:eastAsia="Calibri" w:hAnsi="Times New Roman" w:cs="Times New Roman"/>
          <w:sz w:val="24"/>
          <w:szCs w:val="24"/>
          <w:lang w:val="en-US"/>
        </w:rPr>
        <w:t>) or to compare two samples (</w:t>
      </w:r>
      <w:r w:rsidRPr="00703566">
        <w:rPr>
          <w:rFonts w:ascii="Times New Roman" w:eastAsia="Calibri" w:hAnsi="Times New Roman" w:cs="Times New Roman"/>
          <w:i/>
          <w:sz w:val="24"/>
          <w:szCs w:val="24"/>
          <w:lang w:val="en-US"/>
        </w:rPr>
        <w:t xml:space="preserve">two </w:t>
      </w:r>
      <w:r w:rsidRPr="00703566">
        <w:rPr>
          <w:rFonts w:ascii="Times New Roman" w:eastAsia="Calibri" w:hAnsi="Times New Roman" w:cs="Times New Roman"/>
          <w:sz w:val="24"/>
          <w:szCs w:val="24"/>
          <w:lang w:val="en-US"/>
        </w:rPr>
        <w:t xml:space="preserve">– </w:t>
      </w:r>
      <w:r w:rsidRPr="00703566">
        <w:rPr>
          <w:rFonts w:ascii="Times New Roman" w:eastAsia="Calibri" w:hAnsi="Times New Roman" w:cs="Times New Roman"/>
          <w:i/>
          <w:sz w:val="24"/>
          <w:szCs w:val="24"/>
          <w:lang w:val="en-US"/>
        </w:rPr>
        <w:t>sample K</w:t>
      </w:r>
      <w:r w:rsidRPr="00703566">
        <w:rPr>
          <w:rFonts w:ascii="Times New Roman" w:eastAsia="Calibri" w:hAnsi="Times New Roman" w:cs="Times New Roman"/>
          <w:sz w:val="24"/>
          <w:szCs w:val="24"/>
          <w:lang w:val="en-US"/>
        </w:rPr>
        <w:t>–</w:t>
      </w:r>
      <w:r w:rsidRPr="00703566">
        <w:rPr>
          <w:rFonts w:ascii="Times New Roman" w:eastAsia="Calibri" w:hAnsi="Times New Roman" w:cs="Times New Roman"/>
          <w:i/>
          <w:sz w:val="24"/>
          <w:szCs w:val="24"/>
          <w:lang w:val="en-US"/>
        </w:rPr>
        <w:t>S test</w:t>
      </w:r>
      <w:r w:rsidRPr="00703566">
        <w:rPr>
          <w:rFonts w:ascii="Times New Roman" w:eastAsia="Calibri" w:hAnsi="Times New Roman" w:cs="Times New Roman"/>
          <w:sz w:val="24"/>
          <w:szCs w:val="24"/>
          <w:lang w:val="en-US"/>
        </w:rPr>
        <w:t>). It is named after Andrey Kolmogorov and Nikolai Smirnov.</w:t>
      </w:r>
    </w:p>
    <w:p w14:paraId="539A98A3" w14:textId="77777777" w:rsidR="00703566" w:rsidRPr="00703566" w:rsidRDefault="00703566" w:rsidP="00703566">
      <w:pPr>
        <w:spacing w:after="337"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compare the recovery period between male and female we have to test the equality of mean between males and females. To test whether the sample is from normal population we use Kolmogorov-Smirnov (</w:t>
      </w:r>
      <w:r w:rsidRPr="00703566">
        <w:rPr>
          <w:rFonts w:ascii="Times New Roman" w:eastAsia="Calibri" w:hAnsi="Times New Roman" w:cs="Times New Roman"/>
          <w:i/>
          <w:sz w:val="24"/>
          <w:szCs w:val="24"/>
          <w:lang w:val="en-US"/>
        </w:rPr>
        <w:t>KS</w:t>
      </w:r>
      <w:r w:rsidRPr="00703566">
        <w:rPr>
          <w:rFonts w:ascii="Times New Roman" w:eastAsia="Calibri" w:hAnsi="Times New Roman" w:cs="Times New Roman"/>
          <w:sz w:val="24"/>
          <w:szCs w:val="24"/>
          <w:lang w:val="en-US"/>
        </w:rPr>
        <w:t>) Test. KS Test is performed on data showing recovery of females and males respectively.</w:t>
      </w:r>
    </w:p>
    <w:p w14:paraId="6CDE9588" w14:textId="77777777" w:rsidR="00703566" w:rsidRPr="00703566" w:rsidRDefault="00703566" w:rsidP="00703566">
      <w:pPr>
        <w:keepNext/>
        <w:keepLines/>
        <w:spacing w:before="40" w:after="0" w:line="480" w:lineRule="auto"/>
        <w:jc w:val="both"/>
        <w:outlineLvl w:val="1"/>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KS Test on Female Data</w:t>
      </w:r>
    </w:p>
    <w:p w14:paraId="321B726D"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One-sample Kolmogorov-Smirnov test is performed on data of female patients using R software</w:t>
      </w:r>
    </w:p>
    <w:p w14:paraId="6201885A" w14:textId="77777777" w:rsidR="00703566" w:rsidRPr="00703566" w:rsidRDefault="00703566" w:rsidP="00703566">
      <w:pPr>
        <w:spacing w:after="338"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D =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99865</w:t>
      </w:r>
      <w:r w:rsidRPr="00703566">
        <w:rPr>
          <w:rFonts w:ascii="Times New Roman" w:eastAsia="Calibri" w:hAnsi="Times New Roman" w:cs="Times New Roman"/>
          <w:i/>
          <w:sz w:val="24"/>
          <w:szCs w:val="24"/>
          <w:lang w:val="en-US"/>
        </w:rPr>
        <w:t>, p</w:t>
      </w:r>
      <w:r w:rsidRPr="00703566">
        <w:rPr>
          <w:rFonts w:ascii="Times New Roman" w:eastAsia="Calibri" w:hAnsi="Times New Roman" w:cs="Times New Roman"/>
          <w:sz w:val="24"/>
          <w:szCs w:val="24"/>
          <w:lang w:val="en-US"/>
        </w:rPr>
        <w:t>-</w:t>
      </w:r>
      <w:r w:rsidRPr="00703566">
        <w:rPr>
          <w:rFonts w:ascii="Times New Roman" w:eastAsia="Calibri" w:hAnsi="Times New Roman" w:cs="Times New Roman"/>
          <w:i/>
          <w:sz w:val="24"/>
          <w:szCs w:val="24"/>
          <w:lang w:val="en-US"/>
        </w:rPr>
        <w:t xml:space="preserve">value &lt; </w:t>
      </w:r>
      <w:r w:rsidRPr="00703566">
        <w:rPr>
          <w:rFonts w:ascii="Times New Roman" w:eastAsia="Calibri" w:hAnsi="Times New Roman" w:cs="Times New Roman"/>
          <w:sz w:val="24"/>
          <w:szCs w:val="24"/>
          <w:lang w:val="en-US"/>
        </w:rPr>
        <w:t>2</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2</w:t>
      </w:r>
      <w:r w:rsidRPr="00703566">
        <w:rPr>
          <w:rFonts w:ascii="Times New Roman" w:eastAsia="Calibri" w:hAnsi="Times New Roman" w:cs="Times New Roman"/>
          <w:i/>
          <w:sz w:val="24"/>
          <w:szCs w:val="24"/>
          <w:lang w:val="en-US"/>
        </w:rPr>
        <w:t xml:space="preserve">e </w:t>
      </w:r>
      <w:r w:rsidRPr="00703566">
        <w:rPr>
          <w:rFonts w:ascii="Times New Roman" w:eastAsia="Calibri" w:hAnsi="Times New Roman" w:cs="Times New Roman"/>
          <w:sz w:val="24"/>
          <w:szCs w:val="24"/>
          <w:lang w:val="en-US"/>
        </w:rPr>
        <w:t>− 16 Since p -value is less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05 then we reject our null hypothesis the sample is not following normal distribution.</w:t>
      </w:r>
    </w:p>
    <w:p w14:paraId="6FD8CCD8" w14:textId="77777777" w:rsidR="00703566" w:rsidRPr="00703566" w:rsidRDefault="00703566" w:rsidP="00703566">
      <w:pPr>
        <w:keepNext/>
        <w:keepLines/>
        <w:spacing w:before="40" w:after="0" w:line="480" w:lineRule="auto"/>
        <w:jc w:val="both"/>
        <w:outlineLvl w:val="1"/>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KS Test on Male Data</w:t>
      </w:r>
    </w:p>
    <w:p w14:paraId="6B3766BD" w14:textId="77777777" w:rsidR="00703566" w:rsidRPr="00703566" w:rsidRDefault="00703566" w:rsidP="00703566">
      <w:pPr>
        <w:spacing w:after="444"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One-sample Kolmogorov-Smirnov test is performed on data of male patients using R software D =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99865</w:t>
      </w:r>
      <w:r w:rsidRPr="00703566">
        <w:rPr>
          <w:rFonts w:ascii="Times New Roman" w:eastAsia="Calibri" w:hAnsi="Times New Roman" w:cs="Times New Roman"/>
          <w:i/>
          <w:sz w:val="24"/>
          <w:szCs w:val="24"/>
          <w:lang w:val="en-US"/>
        </w:rPr>
        <w:t>, p</w:t>
      </w:r>
      <w:r w:rsidRPr="00703566">
        <w:rPr>
          <w:rFonts w:ascii="Times New Roman" w:eastAsia="Calibri" w:hAnsi="Times New Roman" w:cs="Times New Roman"/>
          <w:sz w:val="24"/>
          <w:szCs w:val="24"/>
          <w:lang w:val="en-US"/>
        </w:rPr>
        <w:t>-</w:t>
      </w:r>
      <w:r w:rsidRPr="00703566">
        <w:rPr>
          <w:rFonts w:ascii="Times New Roman" w:eastAsia="Calibri" w:hAnsi="Times New Roman" w:cs="Times New Roman"/>
          <w:i/>
          <w:sz w:val="24"/>
          <w:szCs w:val="24"/>
          <w:lang w:val="en-US"/>
        </w:rPr>
        <w:t xml:space="preserve">value &lt; </w:t>
      </w:r>
      <w:r w:rsidRPr="00703566">
        <w:rPr>
          <w:rFonts w:ascii="Times New Roman" w:eastAsia="Calibri" w:hAnsi="Times New Roman" w:cs="Times New Roman"/>
          <w:sz w:val="24"/>
          <w:szCs w:val="24"/>
          <w:lang w:val="en-US"/>
        </w:rPr>
        <w:t>2</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2</w:t>
      </w:r>
      <w:r w:rsidRPr="00703566">
        <w:rPr>
          <w:rFonts w:ascii="Times New Roman" w:eastAsia="Calibri" w:hAnsi="Times New Roman" w:cs="Times New Roman"/>
          <w:i/>
          <w:sz w:val="24"/>
          <w:szCs w:val="24"/>
          <w:lang w:val="en-US"/>
        </w:rPr>
        <w:t>e</w:t>
      </w:r>
      <w:r w:rsidRPr="00703566">
        <w:rPr>
          <w:rFonts w:ascii="Times New Roman" w:eastAsia="Calibri" w:hAnsi="Times New Roman" w:cs="Times New Roman"/>
          <w:sz w:val="24"/>
          <w:szCs w:val="24"/>
          <w:lang w:val="en-US"/>
        </w:rPr>
        <w:t>−. Since p -value is less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05 then we reject our null hypothesis, the sample is not following normal distribution.</w:t>
      </w:r>
    </w:p>
    <w:p w14:paraId="476D4CA2" w14:textId="77777777" w:rsidR="00703566" w:rsidRPr="00703566" w:rsidRDefault="00703566" w:rsidP="00703566">
      <w:pPr>
        <w:keepNext/>
        <w:keepLines/>
        <w:spacing w:before="240" w:after="0" w:line="480" w:lineRule="auto"/>
        <w:jc w:val="both"/>
        <w:outlineLvl w:val="0"/>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lastRenderedPageBreak/>
        <w:t>Testing Equality of Recovery Period</w:t>
      </w:r>
    </w:p>
    <w:p w14:paraId="4721B2F3"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Since the samples are not from normal population, we use non parametric test for equality of recovery period mean of male and female patients. W = 761, p−value =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0738 alternative hypothesis: true location shift is not equal to 0. Since p value is greater than 0.05, we accept the hypothesis. So male and female patients show equal strength from recovering from COVID- 19.</w:t>
      </w:r>
    </w:p>
    <w:p w14:paraId="72DAF4C8" w14:textId="77777777" w:rsidR="00703566" w:rsidRPr="00703566" w:rsidRDefault="00703566" w:rsidP="00703566">
      <w:pPr>
        <w:keepNext/>
        <w:keepLines/>
        <w:spacing w:before="240" w:after="0" w:line="480" w:lineRule="auto"/>
        <w:jc w:val="both"/>
        <w:outlineLvl w:val="0"/>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Nutritional Status Comparison</w:t>
      </w:r>
    </w:p>
    <w:p w14:paraId="54ED9B0F" w14:textId="77777777" w:rsidR="00703566" w:rsidRPr="00703566" w:rsidRDefault="00703566" w:rsidP="00703566">
      <w:pPr>
        <w:spacing w:after="339"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To compare the nutritional status of Patients during and after Covid 19 we use non- parametric t test(paired). V = 370, p-value = 0.5108 alternative hypothesis: true location shift is not equal to 0. Here P value is not less than 0.05 we reject the null hypothesis (there is a change in nutritional status of patient after COVID-19infection).  </w:t>
      </w:r>
    </w:p>
    <w:p w14:paraId="3A6278C6" w14:textId="77777777" w:rsidR="00703566" w:rsidRPr="00703566" w:rsidRDefault="00703566" w:rsidP="00703566">
      <w:pPr>
        <w:tabs>
          <w:tab w:val="center" w:pos="1248"/>
        </w:tabs>
        <w:spacing w:after="123"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b/>
          <w:sz w:val="24"/>
          <w:szCs w:val="24"/>
          <w:lang w:val="en-US"/>
        </w:rPr>
        <w:t>3.1.1</w:t>
      </w:r>
      <w:r w:rsidRPr="00703566">
        <w:rPr>
          <w:rFonts w:ascii="Times New Roman" w:eastAsia="Calibri" w:hAnsi="Times New Roman" w:cs="Times New Roman"/>
          <w:b/>
          <w:sz w:val="24"/>
          <w:szCs w:val="24"/>
          <w:lang w:val="en-US"/>
        </w:rPr>
        <w:tab/>
        <w:t>Conclusion</w:t>
      </w:r>
    </w:p>
    <w:p w14:paraId="6EC0141A" w14:textId="77777777" w:rsidR="00703566" w:rsidRPr="00703566" w:rsidRDefault="00703566" w:rsidP="00703566">
      <w:pPr>
        <w:spacing w:after="446"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We can Conclude that there is not so much change in the nutritional status of patients after COVID-19.</w:t>
      </w:r>
    </w:p>
    <w:p w14:paraId="59D010EC" w14:textId="77777777" w:rsidR="00703566" w:rsidRPr="00703566" w:rsidRDefault="00703566" w:rsidP="00703566">
      <w:pPr>
        <w:spacing w:after="446" w:line="480" w:lineRule="auto"/>
        <w:jc w:val="both"/>
        <w:rPr>
          <w:rFonts w:ascii="Times New Roman" w:eastAsia="Calibri" w:hAnsi="Times New Roman" w:cs="Times New Roman"/>
          <w:b/>
          <w:bCs/>
          <w:sz w:val="24"/>
          <w:szCs w:val="24"/>
          <w:lang w:val="en-US"/>
        </w:rPr>
      </w:pPr>
      <w:r w:rsidRPr="00703566">
        <w:rPr>
          <w:rFonts w:ascii="Times New Roman" w:eastAsia="Times New Roman" w:hAnsi="Times New Roman" w:cs="Times New Roman"/>
          <w:b/>
          <w:bCs/>
          <w:sz w:val="24"/>
          <w:szCs w:val="24"/>
          <w:lang w:val="en-GB"/>
        </w:rPr>
        <w:t>Appetite information comparison</w:t>
      </w:r>
    </w:p>
    <w:p w14:paraId="1E2601BB" w14:textId="77777777" w:rsidR="00703566" w:rsidRPr="00703566" w:rsidRDefault="00703566" w:rsidP="00703566">
      <w:pPr>
        <w:keepNext/>
        <w:keepLines/>
        <w:spacing w:before="40" w:after="0" w:line="480" w:lineRule="auto"/>
        <w:jc w:val="both"/>
        <w:outlineLvl w:val="1"/>
        <w:rPr>
          <w:rFonts w:ascii="Times New Roman" w:eastAsia="Times New Roman" w:hAnsi="Times New Roman" w:cs="Times New Roman"/>
          <w:sz w:val="24"/>
          <w:szCs w:val="24"/>
          <w:lang w:val="en-GB"/>
        </w:rPr>
      </w:pPr>
      <w:r w:rsidRPr="00703566">
        <w:rPr>
          <w:rFonts w:ascii="Times New Roman" w:eastAsia="Times New Roman" w:hAnsi="Times New Roman" w:cs="Times New Roman"/>
          <w:sz w:val="24"/>
          <w:szCs w:val="24"/>
          <w:lang w:val="en-GB"/>
        </w:rPr>
        <w:t>Male</w:t>
      </w:r>
    </w:p>
    <w:p w14:paraId="331D2E2A"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compare the appetite information comparison of male patients we use non - parametric t test(paired). V = 0, p-value = 7.926e-07 alternative hypothesis: true location shift is not equal to 0. Here p value is less than 0.05 so we can conclude that there is enough evidence to reject the null hypothesis. There is significant difference between the appetite during and after Covid 19 in male patients.</w:t>
      </w:r>
    </w:p>
    <w:p w14:paraId="0180C2D3" w14:textId="77777777" w:rsidR="00703566" w:rsidRPr="00703566" w:rsidRDefault="00703566" w:rsidP="00703566">
      <w:pPr>
        <w:keepNext/>
        <w:keepLines/>
        <w:spacing w:before="40" w:after="0" w:line="480" w:lineRule="auto"/>
        <w:jc w:val="both"/>
        <w:outlineLvl w:val="1"/>
        <w:rPr>
          <w:rFonts w:ascii="Times New Roman" w:eastAsia="Times New Roman" w:hAnsi="Times New Roman" w:cs="Times New Roman"/>
          <w:sz w:val="24"/>
          <w:szCs w:val="24"/>
          <w:lang w:val="en-GB"/>
        </w:rPr>
      </w:pPr>
      <w:r w:rsidRPr="00703566">
        <w:rPr>
          <w:rFonts w:ascii="Times New Roman" w:eastAsia="Times New Roman" w:hAnsi="Times New Roman" w:cs="Times New Roman"/>
          <w:sz w:val="24"/>
          <w:szCs w:val="24"/>
          <w:lang w:val="en-GB"/>
        </w:rPr>
        <w:lastRenderedPageBreak/>
        <w:t>Female</w:t>
      </w:r>
    </w:p>
    <w:p w14:paraId="43BEC9A8" w14:textId="77777777" w:rsidR="00703566" w:rsidRPr="00703566" w:rsidRDefault="00703566" w:rsidP="00703566">
      <w:pPr>
        <w:spacing w:after="455"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To compare the appetite information comparison of male patients we use non -parametric t test (paired) V = 0, p-value = 5.886e-07 alternative hypothesis: true location shift is not equal to 0. Here p value is less than 0.05 so we can conclude that there is enough evidence to reject the null </w:t>
      </w:r>
      <w:proofErr w:type="gramStart"/>
      <w:r w:rsidRPr="00703566">
        <w:rPr>
          <w:rFonts w:ascii="Times New Roman" w:eastAsia="Calibri" w:hAnsi="Times New Roman" w:cs="Times New Roman"/>
          <w:sz w:val="24"/>
          <w:szCs w:val="24"/>
          <w:lang w:val="en-US"/>
        </w:rPr>
        <w:t>hypothesis( There</w:t>
      </w:r>
      <w:proofErr w:type="gramEnd"/>
      <w:r w:rsidRPr="00703566">
        <w:rPr>
          <w:rFonts w:ascii="Times New Roman" w:eastAsia="Calibri" w:hAnsi="Times New Roman" w:cs="Times New Roman"/>
          <w:sz w:val="24"/>
          <w:szCs w:val="24"/>
          <w:lang w:val="en-US"/>
        </w:rPr>
        <w:t xml:space="preserve"> is significant difference between the appetite during and after Covid 19 in male patients).</w:t>
      </w:r>
    </w:p>
    <w:p w14:paraId="094B03EF" w14:textId="77777777" w:rsidR="00703566" w:rsidRPr="00703566" w:rsidRDefault="00703566" w:rsidP="00703566">
      <w:pPr>
        <w:keepNext/>
        <w:keepLines/>
        <w:spacing w:before="240" w:after="0" w:line="480" w:lineRule="auto"/>
        <w:jc w:val="both"/>
        <w:outlineLvl w:val="0"/>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Relationship between appetite (during Covid 19) and nutritional status</w:t>
      </w:r>
    </w:p>
    <w:p w14:paraId="1DE294DC" w14:textId="77777777" w:rsidR="00703566" w:rsidRPr="00703566" w:rsidRDefault="00703566" w:rsidP="00703566">
      <w:pPr>
        <w:spacing w:after="254"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compare the relationship between appetite (during Covid 19) and nutritional status we use chi square test for independent of attributes.</w:t>
      </w:r>
    </w:p>
    <w:p w14:paraId="187575C5"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i/>
          <w:sz w:val="24"/>
          <w:szCs w:val="24"/>
          <w:lang w:val="en-US"/>
        </w:rPr>
        <w:t>χ</w:t>
      </w:r>
      <w:r w:rsidRPr="00703566">
        <w:rPr>
          <w:rFonts w:ascii="Times New Roman" w:eastAsia="Calibri" w:hAnsi="Times New Roman" w:cs="Times New Roman"/>
          <w:sz w:val="24"/>
          <w:szCs w:val="24"/>
          <w:vertAlign w:val="superscript"/>
          <w:lang w:val="en-US"/>
        </w:rPr>
        <w:t>2</w:t>
      </w:r>
      <w:r w:rsidRPr="00703566">
        <w:rPr>
          <w:rFonts w:ascii="Times New Roman" w:eastAsia="Calibri" w:hAnsi="Times New Roman" w:cs="Times New Roman"/>
          <w:sz w:val="24"/>
          <w:szCs w:val="24"/>
          <w:lang w:val="en-US"/>
        </w:rPr>
        <w:t>= 7</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7503 df = 2 p value =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02075</w:t>
      </w:r>
    </w:p>
    <w:tbl>
      <w:tblPr>
        <w:tblStyle w:val="TableGrid10"/>
        <w:tblW w:w="7797" w:type="dxa"/>
        <w:jc w:val="center"/>
        <w:tblInd w:w="0" w:type="dxa"/>
        <w:tblCellMar>
          <w:left w:w="120" w:type="dxa"/>
          <w:bottom w:w="37" w:type="dxa"/>
          <w:right w:w="115" w:type="dxa"/>
        </w:tblCellMar>
        <w:tblLook w:val="04A0" w:firstRow="1" w:lastRow="0" w:firstColumn="1" w:lastColumn="0" w:noHBand="0" w:noVBand="1"/>
      </w:tblPr>
      <w:tblGrid>
        <w:gridCol w:w="2713"/>
        <w:gridCol w:w="873"/>
        <w:gridCol w:w="4211"/>
      </w:tblGrid>
      <w:tr w:rsidR="00703566" w:rsidRPr="00703566" w14:paraId="40E8B9FA" w14:textId="77777777" w:rsidTr="008A6F48">
        <w:trPr>
          <w:trHeight w:val="486"/>
          <w:jc w:val="center"/>
        </w:trPr>
        <w:tc>
          <w:tcPr>
            <w:tcW w:w="2713" w:type="dxa"/>
            <w:tcBorders>
              <w:top w:val="single" w:sz="3" w:space="0" w:color="000000"/>
              <w:left w:val="single" w:sz="3" w:space="0" w:color="000000"/>
              <w:bottom w:val="single" w:sz="3" w:space="0" w:color="000000"/>
              <w:right w:val="single" w:sz="3" w:space="0" w:color="000000"/>
            </w:tcBorders>
            <w:vAlign w:val="bottom"/>
          </w:tcPr>
          <w:p w14:paraId="6D33C2BB" w14:textId="77777777" w:rsidR="00703566" w:rsidRPr="00703566" w:rsidRDefault="00703566" w:rsidP="00703566">
            <w:pPr>
              <w:spacing w:line="360" w:lineRule="auto"/>
              <w:jc w:val="both"/>
              <w:rPr>
                <w:rFonts w:ascii="Times New Roman" w:hAnsi="Times New Roman"/>
                <w:sz w:val="24"/>
                <w:szCs w:val="24"/>
              </w:rPr>
            </w:pPr>
            <w:r w:rsidRPr="00703566">
              <w:rPr>
                <w:rFonts w:ascii="Times New Roman" w:hAnsi="Times New Roman"/>
                <w:sz w:val="24"/>
                <w:szCs w:val="24"/>
              </w:rPr>
              <w:t>Malnourished</w:t>
            </w:r>
          </w:p>
        </w:tc>
        <w:tc>
          <w:tcPr>
            <w:tcW w:w="5084" w:type="dxa"/>
            <w:gridSpan w:val="2"/>
            <w:tcBorders>
              <w:top w:val="single" w:sz="3" w:space="0" w:color="000000"/>
              <w:left w:val="single" w:sz="3" w:space="0" w:color="000000"/>
              <w:bottom w:val="single" w:sz="3" w:space="0" w:color="000000"/>
              <w:right w:val="nil"/>
            </w:tcBorders>
            <w:vAlign w:val="bottom"/>
          </w:tcPr>
          <w:p w14:paraId="75C27AAA" w14:textId="77777777" w:rsidR="00703566" w:rsidRPr="00703566" w:rsidRDefault="00703566" w:rsidP="00703566">
            <w:pPr>
              <w:tabs>
                <w:tab w:val="right" w:pos="3224"/>
              </w:tabs>
              <w:spacing w:line="360" w:lineRule="auto"/>
              <w:jc w:val="both"/>
              <w:rPr>
                <w:rFonts w:ascii="Times New Roman" w:hAnsi="Times New Roman"/>
                <w:sz w:val="24"/>
                <w:szCs w:val="24"/>
              </w:rPr>
            </w:pPr>
            <w:r w:rsidRPr="00703566">
              <w:rPr>
                <w:rFonts w:ascii="Times New Roman" w:hAnsi="Times New Roman"/>
                <w:sz w:val="24"/>
                <w:szCs w:val="24"/>
              </w:rPr>
              <w:t>Normal</w:t>
            </w:r>
            <w:r w:rsidRPr="00703566">
              <w:rPr>
                <w:rFonts w:ascii="Times New Roman" w:hAnsi="Times New Roman"/>
                <w:sz w:val="24"/>
                <w:szCs w:val="24"/>
              </w:rPr>
              <w:tab/>
              <w:t>At the risk of malnutrition</w:t>
            </w:r>
          </w:p>
        </w:tc>
      </w:tr>
      <w:tr w:rsidR="00703566" w:rsidRPr="00703566" w14:paraId="1EB5342E" w14:textId="77777777" w:rsidTr="008A6F48">
        <w:trPr>
          <w:trHeight w:val="725"/>
          <w:jc w:val="center"/>
        </w:trPr>
        <w:tc>
          <w:tcPr>
            <w:tcW w:w="2713" w:type="dxa"/>
            <w:tcBorders>
              <w:top w:val="single" w:sz="3" w:space="0" w:color="000000"/>
              <w:left w:val="single" w:sz="3" w:space="0" w:color="000000"/>
              <w:bottom w:val="single" w:sz="3" w:space="0" w:color="000000"/>
              <w:right w:val="single" w:sz="3" w:space="0" w:color="000000"/>
            </w:tcBorders>
            <w:vAlign w:val="bottom"/>
          </w:tcPr>
          <w:p w14:paraId="3B338D27" w14:textId="77777777" w:rsidR="00703566" w:rsidRPr="00703566" w:rsidRDefault="00703566" w:rsidP="00703566">
            <w:pPr>
              <w:spacing w:line="360" w:lineRule="auto"/>
              <w:ind w:right="4"/>
              <w:jc w:val="both"/>
              <w:rPr>
                <w:rFonts w:ascii="Times New Roman" w:hAnsi="Times New Roman"/>
                <w:sz w:val="24"/>
                <w:szCs w:val="24"/>
              </w:rPr>
            </w:pPr>
            <w:r w:rsidRPr="00703566">
              <w:rPr>
                <w:rFonts w:ascii="Times New Roman" w:hAnsi="Times New Roman"/>
                <w:sz w:val="24"/>
                <w:szCs w:val="24"/>
              </w:rPr>
              <w:t>Poor</w:t>
            </w:r>
          </w:p>
          <w:p w14:paraId="43BAE922" w14:textId="77777777" w:rsidR="00703566" w:rsidRPr="00703566" w:rsidRDefault="00703566" w:rsidP="00703566">
            <w:pPr>
              <w:spacing w:line="360" w:lineRule="auto"/>
              <w:ind w:right="4"/>
              <w:jc w:val="both"/>
              <w:rPr>
                <w:rFonts w:ascii="Times New Roman" w:hAnsi="Times New Roman"/>
                <w:sz w:val="24"/>
                <w:szCs w:val="24"/>
              </w:rPr>
            </w:pPr>
            <w:r w:rsidRPr="00703566">
              <w:rPr>
                <w:rFonts w:ascii="Times New Roman" w:hAnsi="Times New Roman"/>
                <w:sz w:val="24"/>
                <w:szCs w:val="24"/>
              </w:rPr>
              <w:t>36</w:t>
            </w:r>
          </w:p>
        </w:tc>
        <w:tc>
          <w:tcPr>
            <w:tcW w:w="5084" w:type="dxa"/>
            <w:gridSpan w:val="2"/>
            <w:tcBorders>
              <w:top w:val="single" w:sz="3" w:space="0" w:color="000000"/>
              <w:left w:val="single" w:sz="3" w:space="0" w:color="000000"/>
              <w:bottom w:val="single" w:sz="3" w:space="0" w:color="000000"/>
              <w:right w:val="nil"/>
            </w:tcBorders>
            <w:vAlign w:val="center"/>
          </w:tcPr>
          <w:p w14:paraId="748EA0A1" w14:textId="77777777" w:rsidR="00703566" w:rsidRPr="00703566" w:rsidRDefault="00703566" w:rsidP="00703566">
            <w:pPr>
              <w:tabs>
                <w:tab w:val="center" w:pos="324"/>
                <w:tab w:val="center" w:pos="768"/>
                <w:tab w:val="center" w:pos="2053"/>
              </w:tabs>
              <w:spacing w:line="360" w:lineRule="auto"/>
              <w:jc w:val="both"/>
              <w:rPr>
                <w:rFonts w:ascii="Times New Roman" w:hAnsi="Times New Roman"/>
                <w:sz w:val="24"/>
                <w:szCs w:val="24"/>
              </w:rPr>
            </w:pPr>
            <w:r w:rsidRPr="00703566">
              <w:rPr>
                <w:rFonts w:ascii="Times New Roman" w:eastAsia="Calibri" w:hAnsi="Times New Roman"/>
                <w:sz w:val="24"/>
                <w:szCs w:val="24"/>
              </w:rPr>
              <w:tab/>
            </w:r>
            <w:r w:rsidRPr="00703566">
              <w:rPr>
                <w:rFonts w:ascii="Times New Roman" w:hAnsi="Times New Roman"/>
                <w:sz w:val="24"/>
                <w:szCs w:val="24"/>
              </w:rPr>
              <w:t>19</w:t>
            </w:r>
            <w:r w:rsidRPr="00703566">
              <w:rPr>
                <w:rFonts w:ascii="Times New Roman" w:hAnsi="Times New Roman"/>
                <w:sz w:val="24"/>
                <w:szCs w:val="24"/>
              </w:rPr>
              <w:tab/>
            </w:r>
            <w:r w:rsidRPr="00703566">
              <w:rPr>
                <w:rFonts w:ascii="Times New Roman" w:eastAsia="Calibri" w:hAnsi="Times New Roman"/>
                <w:noProof/>
                <w:sz w:val="24"/>
                <w:szCs w:val="24"/>
              </w:rPr>
              <mc:AlternateContent>
                <mc:Choice Requires="wpg">
                  <w:drawing>
                    <wp:inline distT="0" distB="0" distL="0" distR="0" wp14:anchorId="23C20D0A" wp14:editId="667AF9F8">
                      <wp:extent cx="5055" cy="151829"/>
                      <wp:effectExtent l="0" t="0" r="0" b="0"/>
                      <wp:docPr id="4258" name="Group 4258"/>
                      <wp:cNvGraphicFramePr/>
                      <a:graphic xmlns:a="http://schemas.openxmlformats.org/drawingml/2006/main">
                        <a:graphicData uri="http://schemas.microsoft.com/office/word/2010/wordprocessingGroup">
                          <wpg:wgp>
                            <wpg:cNvGrpSpPr/>
                            <wpg:grpSpPr>
                              <a:xfrm>
                                <a:off x="0" y="0"/>
                                <a:ext cx="5055" cy="151829"/>
                                <a:chOff x="0" y="0"/>
                                <a:chExt cx="5055" cy="151829"/>
                              </a:xfrm>
                            </wpg:grpSpPr>
                            <wps:wsp>
                              <wps:cNvPr id="196" name="Shape 196"/>
                              <wps:cNvSpPr/>
                              <wps:spPr>
                                <a:xfrm>
                                  <a:off x="0" y="0"/>
                                  <a:ext cx="0" cy="151829"/>
                                </a:xfrm>
                                <a:custGeom>
                                  <a:avLst/>
                                  <a:gdLst/>
                                  <a:ahLst/>
                                  <a:cxnLst/>
                                  <a:rect l="0" t="0" r="0" b="0"/>
                                  <a:pathLst>
                                    <a:path h="151829">
                                      <a:moveTo>
                                        <a:pt x="0" y="151829"/>
                                      </a:moveTo>
                                      <a:lnTo>
                                        <a:pt x="0" y="0"/>
                                      </a:lnTo>
                                    </a:path>
                                  </a:pathLst>
                                </a:custGeom>
                                <a:noFill/>
                                <a:ln w="5055" cap="flat" cmpd="sng" algn="ctr">
                                  <a:solidFill>
                                    <a:srgbClr val="000000">
                                      <a:shade val="95000"/>
                                      <a:satMod val="105000"/>
                                    </a:srgbClr>
                                  </a:solidFill>
                                  <a:prstDash val="solid"/>
                                  <a:miter lim="127000"/>
                                </a:ln>
                                <a:effectLst/>
                              </wps:spPr>
                              <wps:bodyPr/>
                            </wps:wsp>
                          </wpg:wgp>
                        </a:graphicData>
                      </a:graphic>
                    </wp:inline>
                  </w:drawing>
                </mc:Choice>
                <mc:Fallback>
                  <w:pict>
                    <v:group w14:anchorId="1151C044" id="Group 4258" o:spid="_x0000_s1026" style="width:.4pt;height:11.95pt;mso-position-horizontal-relative:char;mso-position-vertical-relative:line" coordsize="5055,15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">
                      <v:shape id="Shape 196" o:spid="_x0000_s1027" style="position:absolute;width:0;height:151829;visibility:visible;mso-wrap-style:square;v-text-anchor:top" coordsize="0,1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" path="m,151829l,e" filled="f" strokeweight=".14042mm">
                        <v:stroke miterlimit="83231f" joinstyle="miter"/>
                        <v:path arrowok="t" textboxrect="0,0,0,151829"/>
                      </v:shape>
                      <w10:anchorlock/>
                    </v:group>
                  </w:pict>
                </mc:Fallback>
              </mc:AlternateContent>
            </w:r>
            <w:r w:rsidRPr="00703566">
              <w:rPr>
                <w:rFonts w:ascii="Times New Roman" w:hAnsi="Times New Roman"/>
                <w:sz w:val="24"/>
                <w:szCs w:val="24"/>
              </w:rPr>
              <w:tab/>
              <w:t>9</w:t>
            </w:r>
          </w:p>
        </w:tc>
      </w:tr>
      <w:tr w:rsidR="00703566" w:rsidRPr="00703566" w14:paraId="15432F7F" w14:textId="77777777" w:rsidTr="008A6F48">
        <w:trPr>
          <w:trHeight w:val="725"/>
          <w:jc w:val="center"/>
        </w:trPr>
        <w:tc>
          <w:tcPr>
            <w:tcW w:w="2713" w:type="dxa"/>
            <w:tcBorders>
              <w:top w:val="single" w:sz="3" w:space="0" w:color="000000"/>
              <w:left w:val="single" w:sz="3" w:space="0" w:color="000000"/>
              <w:bottom w:val="single" w:sz="3" w:space="0" w:color="000000"/>
              <w:right w:val="single" w:sz="3" w:space="0" w:color="000000"/>
            </w:tcBorders>
            <w:vAlign w:val="bottom"/>
          </w:tcPr>
          <w:p w14:paraId="289F8D92" w14:textId="77777777" w:rsidR="00703566" w:rsidRPr="00703566" w:rsidRDefault="00703566" w:rsidP="00703566">
            <w:pPr>
              <w:spacing w:line="360" w:lineRule="auto"/>
              <w:ind w:right="4"/>
              <w:jc w:val="both"/>
              <w:rPr>
                <w:rFonts w:ascii="Times New Roman" w:hAnsi="Times New Roman"/>
                <w:sz w:val="24"/>
                <w:szCs w:val="24"/>
              </w:rPr>
            </w:pPr>
            <w:r w:rsidRPr="00703566">
              <w:rPr>
                <w:rFonts w:ascii="Times New Roman" w:hAnsi="Times New Roman"/>
                <w:sz w:val="24"/>
                <w:szCs w:val="24"/>
              </w:rPr>
              <w:t>Average</w:t>
            </w:r>
          </w:p>
          <w:p w14:paraId="0C06F11C" w14:textId="77777777" w:rsidR="00703566" w:rsidRPr="00703566" w:rsidRDefault="00703566" w:rsidP="00703566">
            <w:pPr>
              <w:spacing w:line="360" w:lineRule="auto"/>
              <w:ind w:right="4"/>
              <w:jc w:val="both"/>
              <w:rPr>
                <w:rFonts w:ascii="Times New Roman" w:hAnsi="Times New Roman"/>
                <w:sz w:val="24"/>
                <w:szCs w:val="24"/>
              </w:rPr>
            </w:pPr>
            <w:r w:rsidRPr="00703566">
              <w:rPr>
                <w:rFonts w:ascii="Times New Roman" w:hAnsi="Times New Roman"/>
                <w:sz w:val="24"/>
                <w:szCs w:val="24"/>
              </w:rPr>
              <w:t>7</w:t>
            </w:r>
          </w:p>
        </w:tc>
        <w:tc>
          <w:tcPr>
            <w:tcW w:w="873" w:type="dxa"/>
            <w:tcBorders>
              <w:top w:val="single" w:sz="3" w:space="0" w:color="000000"/>
              <w:left w:val="single" w:sz="3" w:space="0" w:color="000000"/>
              <w:bottom w:val="single" w:sz="3" w:space="0" w:color="000000"/>
              <w:right w:val="nil"/>
            </w:tcBorders>
            <w:vAlign w:val="center"/>
          </w:tcPr>
          <w:p w14:paraId="015C7533" w14:textId="77777777" w:rsidR="00703566" w:rsidRPr="00703566" w:rsidRDefault="00703566" w:rsidP="00703566">
            <w:pPr>
              <w:spacing w:line="360" w:lineRule="auto"/>
              <w:ind w:right="4"/>
              <w:jc w:val="both"/>
              <w:rPr>
                <w:rFonts w:ascii="Times New Roman" w:hAnsi="Times New Roman"/>
                <w:sz w:val="24"/>
                <w:szCs w:val="24"/>
              </w:rPr>
            </w:pPr>
            <w:r w:rsidRPr="00703566">
              <w:rPr>
                <w:rFonts w:ascii="Times New Roman" w:hAnsi="Times New Roman"/>
                <w:sz w:val="24"/>
                <w:szCs w:val="24"/>
              </w:rPr>
              <w:t>0</w:t>
            </w:r>
          </w:p>
        </w:tc>
        <w:tc>
          <w:tcPr>
            <w:tcW w:w="4211" w:type="dxa"/>
            <w:tcBorders>
              <w:top w:val="single" w:sz="3" w:space="0" w:color="000000"/>
              <w:left w:val="nil"/>
              <w:bottom w:val="single" w:sz="3" w:space="0" w:color="000000"/>
              <w:right w:val="nil"/>
            </w:tcBorders>
            <w:vAlign w:val="center"/>
          </w:tcPr>
          <w:p w14:paraId="5308D794" w14:textId="77777777" w:rsidR="00703566" w:rsidRPr="00703566" w:rsidRDefault="00703566" w:rsidP="00703566">
            <w:pPr>
              <w:spacing w:line="360" w:lineRule="auto"/>
              <w:ind w:right="4"/>
              <w:jc w:val="both"/>
              <w:rPr>
                <w:rFonts w:ascii="Times New Roman" w:hAnsi="Times New Roman"/>
                <w:sz w:val="24"/>
                <w:szCs w:val="24"/>
              </w:rPr>
            </w:pPr>
            <w:r w:rsidRPr="00703566">
              <w:rPr>
                <w:rFonts w:ascii="Times New Roman" w:hAnsi="Times New Roman"/>
                <w:sz w:val="24"/>
                <w:szCs w:val="24"/>
              </w:rPr>
              <w:t>5</w:t>
            </w:r>
          </w:p>
        </w:tc>
      </w:tr>
      <w:tr w:rsidR="00703566" w:rsidRPr="00703566" w14:paraId="1CA22CC7" w14:textId="77777777" w:rsidTr="008A6F48">
        <w:trPr>
          <w:trHeight w:val="243"/>
          <w:jc w:val="center"/>
        </w:trPr>
        <w:tc>
          <w:tcPr>
            <w:tcW w:w="2713" w:type="dxa"/>
            <w:tcBorders>
              <w:top w:val="single" w:sz="3" w:space="0" w:color="000000"/>
              <w:left w:val="single" w:sz="3" w:space="0" w:color="000000"/>
              <w:bottom w:val="nil"/>
              <w:right w:val="single" w:sz="3" w:space="0" w:color="000000"/>
            </w:tcBorders>
          </w:tcPr>
          <w:p w14:paraId="4D81DB33" w14:textId="77777777" w:rsidR="00703566" w:rsidRPr="00703566" w:rsidRDefault="00703566" w:rsidP="00703566">
            <w:pPr>
              <w:spacing w:line="360" w:lineRule="auto"/>
              <w:jc w:val="both"/>
              <w:rPr>
                <w:rFonts w:ascii="Times New Roman" w:hAnsi="Times New Roman"/>
                <w:sz w:val="24"/>
                <w:szCs w:val="24"/>
              </w:rPr>
            </w:pPr>
          </w:p>
        </w:tc>
        <w:tc>
          <w:tcPr>
            <w:tcW w:w="5084" w:type="dxa"/>
            <w:gridSpan w:val="2"/>
            <w:tcBorders>
              <w:top w:val="single" w:sz="3" w:space="0" w:color="000000"/>
              <w:left w:val="single" w:sz="3" w:space="0" w:color="000000"/>
              <w:bottom w:val="nil"/>
              <w:right w:val="nil"/>
            </w:tcBorders>
          </w:tcPr>
          <w:p w14:paraId="09C318FC" w14:textId="77777777" w:rsidR="00703566" w:rsidRPr="00703566" w:rsidRDefault="00703566" w:rsidP="00703566">
            <w:pPr>
              <w:spacing w:line="360" w:lineRule="auto"/>
              <w:jc w:val="both"/>
              <w:rPr>
                <w:rFonts w:ascii="Times New Roman" w:hAnsi="Times New Roman"/>
                <w:sz w:val="24"/>
                <w:szCs w:val="24"/>
              </w:rPr>
            </w:pPr>
          </w:p>
        </w:tc>
      </w:tr>
    </w:tbl>
    <w:p w14:paraId="149C8EBC" w14:textId="77777777" w:rsidR="00703566" w:rsidRPr="00703566" w:rsidRDefault="00703566" w:rsidP="00703566">
      <w:pPr>
        <w:spacing w:after="445"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Since the p value is less than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 xml:space="preserve">05. We reject the hypothesis </w:t>
      </w:r>
      <w:proofErr w:type="gramStart"/>
      <w:r w:rsidRPr="00703566">
        <w:rPr>
          <w:rFonts w:ascii="Times New Roman" w:eastAsia="Calibri" w:hAnsi="Times New Roman" w:cs="Times New Roman"/>
          <w:sz w:val="24"/>
          <w:szCs w:val="24"/>
          <w:lang w:val="en-US"/>
        </w:rPr>
        <w:t xml:space="preserve">( </w:t>
      </w:r>
      <w:proofErr w:type="spellStart"/>
      <w:r w:rsidRPr="00703566">
        <w:rPr>
          <w:rFonts w:ascii="Times New Roman" w:eastAsia="Calibri" w:hAnsi="Times New Roman" w:cs="Times New Roman"/>
          <w:sz w:val="24"/>
          <w:szCs w:val="24"/>
          <w:lang w:val="en-US"/>
        </w:rPr>
        <w:t>Ho</w:t>
      </w:r>
      <w:proofErr w:type="gramEnd"/>
      <w:r w:rsidRPr="00703566">
        <w:rPr>
          <w:rFonts w:ascii="Times New Roman" w:eastAsia="Calibri" w:hAnsi="Times New Roman" w:cs="Times New Roman"/>
          <w:sz w:val="24"/>
          <w:szCs w:val="24"/>
          <w:lang w:val="en-US"/>
        </w:rPr>
        <w:t>:nutritional</w:t>
      </w:r>
      <w:proofErr w:type="spellEnd"/>
      <w:r w:rsidRPr="00703566">
        <w:rPr>
          <w:rFonts w:ascii="Times New Roman" w:eastAsia="Calibri" w:hAnsi="Times New Roman" w:cs="Times New Roman"/>
          <w:sz w:val="24"/>
          <w:szCs w:val="24"/>
          <w:lang w:val="en-US"/>
        </w:rPr>
        <w:t xml:space="preserve"> status of the COVID-19 patients depend upon their appetite) that nutritional assessment of patients are independent of appetite .</w:t>
      </w:r>
    </w:p>
    <w:p w14:paraId="551C7DDD" w14:textId="77777777" w:rsidR="00703566" w:rsidRPr="00703566" w:rsidRDefault="00703566" w:rsidP="00703566">
      <w:pPr>
        <w:keepNext/>
        <w:keepLines/>
        <w:spacing w:before="240" w:after="16" w:line="480" w:lineRule="auto"/>
        <w:jc w:val="both"/>
        <w:outlineLvl w:val="0"/>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Relationship between eating disorders and nutritional status</w:t>
      </w:r>
    </w:p>
    <w:tbl>
      <w:tblPr>
        <w:tblStyle w:val="TableGrid10"/>
        <w:tblW w:w="9356" w:type="dxa"/>
        <w:tblInd w:w="-4" w:type="dxa"/>
        <w:tblCellMar>
          <w:left w:w="120" w:type="dxa"/>
          <w:bottom w:w="37" w:type="dxa"/>
          <w:right w:w="115" w:type="dxa"/>
        </w:tblCellMar>
        <w:tblLook w:val="04A0" w:firstRow="1" w:lastRow="0" w:firstColumn="1" w:lastColumn="0" w:noHBand="0" w:noVBand="1"/>
      </w:tblPr>
      <w:tblGrid>
        <w:gridCol w:w="2021"/>
        <w:gridCol w:w="1948"/>
        <w:gridCol w:w="1843"/>
        <w:gridCol w:w="1559"/>
        <w:gridCol w:w="1985"/>
      </w:tblGrid>
      <w:tr w:rsidR="00703566" w:rsidRPr="00703566" w14:paraId="7FED5921" w14:textId="77777777" w:rsidTr="008A6F48">
        <w:trPr>
          <w:trHeight w:val="486"/>
        </w:trPr>
        <w:tc>
          <w:tcPr>
            <w:tcW w:w="2021" w:type="dxa"/>
            <w:tcBorders>
              <w:top w:val="single" w:sz="3" w:space="0" w:color="000000"/>
              <w:left w:val="single" w:sz="3" w:space="0" w:color="000000"/>
              <w:bottom w:val="single" w:sz="3" w:space="0" w:color="000000"/>
              <w:right w:val="single" w:sz="3" w:space="0" w:color="000000"/>
            </w:tcBorders>
            <w:vAlign w:val="bottom"/>
          </w:tcPr>
          <w:p w14:paraId="411570A2"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Eating Disorder</w:t>
            </w:r>
          </w:p>
        </w:tc>
        <w:tc>
          <w:tcPr>
            <w:tcW w:w="1948" w:type="dxa"/>
            <w:tcBorders>
              <w:top w:val="single" w:sz="3" w:space="0" w:color="000000"/>
              <w:left w:val="single" w:sz="3" w:space="0" w:color="000000"/>
              <w:bottom w:val="single" w:sz="3" w:space="0" w:color="000000"/>
              <w:right w:val="nil"/>
            </w:tcBorders>
            <w:vAlign w:val="bottom"/>
          </w:tcPr>
          <w:p w14:paraId="6E8EDF86"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Under weight</w:t>
            </w:r>
          </w:p>
        </w:tc>
        <w:tc>
          <w:tcPr>
            <w:tcW w:w="1843" w:type="dxa"/>
            <w:tcBorders>
              <w:top w:val="single" w:sz="3" w:space="0" w:color="000000"/>
              <w:left w:val="nil"/>
              <w:bottom w:val="single" w:sz="3" w:space="0" w:color="000000"/>
              <w:right w:val="nil"/>
            </w:tcBorders>
            <w:vAlign w:val="bottom"/>
          </w:tcPr>
          <w:p w14:paraId="7A220E5D"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Over weight</w:t>
            </w:r>
          </w:p>
        </w:tc>
        <w:tc>
          <w:tcPr>
            <w:tcW w:w="1559" w:type="dxa"/>
            <w:tcBorders>
              <w:top w:val="single" w:sz="3" w:space="0" w:color="000000"/>
              <w:left w:val="nil"/>
              <w:bottom w:val="single" w:sz="3" w:space="0" w:color="000000"/>
              <w:right w:val="nil"/>
            </w:tcBorders>
            <w:vAlign w:val="bottom"/>
          </w:tcPr>
          <w:p w14:paraId="078DFB34"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Normal</w:t>
            </w:r>
          </w:p>
        </w:tc>
        <w:tc>
          <w:tcPr>
            <w:tcW w:w="1985" w:type="dxa"/>
            <w:tcBorders>
              <w:top w:val="single" w:sz="3" w:space="0" w:color="000000"/>
              <w:left w:val="nil"/>
              <w:bottom w:val="single" w:sz="3" w:space="0" w:color="000000"/>
              <w:right w:val="nil"/>
            </w:tcBorders>
            <w:vAlign w:val="bottom"/>
          </w:tcPr>
          <w:p w14:paraId="6CEA9F47"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Obesity</w:t>
            </w:r>
          </w:p>
        </w:tc>
      </w:tr>
      <w:tr w:rsidR="00703566" w:rsidRPr="00703566" w14:paraId="699AC7C1" w14:textId="77777777" w:rsidTr="008A6F48">
        <w:trPr>
          <w:trHeight w:val="486"/>
        </w:trPr>
        <w:tc>
          <w:tcPr>
            <w:tcW w:w="2021" w:type="dxa"/>
            <w:tcBorders>
              <w:top w:val="single" w:sz="3" w:space="0" w:color="000000"/>
              <w:left w:val="single" w:sz="3" w:space="0" w:color="000000"/>
              <w:bottom w:val="single" w:sz="3" w:space="0" w:color="000000"/>
              <w:right w:val="single" w:sz="3" w:space="0" w:color="000000"/>
            </w:tcBorders>
            <w:vAlign w:val="bottom"/>
          </w:tcPr>
          <w:p w14:paraId="4F814E62"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Both</w:t>
            </w:r>
          </w:p>
        </w:tc>
        <w:tc>
          <w:tcPr>
            <w:tcW w:w="1948" w:type="dxa"/>
            <w:tcBorders>
              <w:top w:val="single" w:sz="3" w:space="0" w:color="000000"/>
              <w:left w:val="single" w:sz="3" w:space="0" w:color="000000"/>
              <w:bottom w:val="single" w:sz="3" w:space="0" w:color="000000"/>
              <w:right w:val="nil"/>
            </w:tcBorders>
            <w:vAlign w:val="bottom"/>
          </w:tcPr>
          <w:p w14:paraId="2EA8E822"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w:t>
            </w:r>
          </w:p>
        </w:tc>
        <w:tc>
          <w:tcPr>
            <w:tcW w:w="1843" w:type="dxa"/>
            <w:tcBorders>
              <w:top w:val="single" w:sz="3" w:space="0" w:color="000000"/>
              <w:left w:val="nil"/>
              <w:bottom w:val="single" w:sz="3" w:space="0" w:color="000000"/>
              <w:right w:val="nil"/>
            </w:tcBorders>
            <w:vAlign w:val="bottom"/>
          </w:tcPr>
          <w:p w14:paraId="20DE34B9"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2</w:t>
            </w:r>
          </w:p>
        </w:tc>
        <w:tc>
          <w:tcPr>
            <w:tcW w:w="1559" w:type="dxa"/>
            <w:tcBorders>
              <w:top w:val="single" w:sz="3" w:space="0" w:color="000000"/>
              <w:left w:val="nil"/>
              <w:bottom w:val="single" w:sz="3" w:space="0" w:color="000000"/>
              <w:right w:val="nil"/>
            </w:tcBorders>
            <w:vAlign w:val="bottom"/>
          </w:tcPr>
          <w:p w14:paraId="079964EB"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0</w:t>
            </w:r>
          </w:p>
        </w:tc>
        <w:tc>
          <w:tcPr>
            <w:tcW w:w="1985" w:type="dxa"/>
            <w:tcBorders>
              <w:top w:val="single" w:sz="3" w:space="0" w:color="000000"/>
              <w:left w:val="nil"/>
              <w:bottom w:val="single" w:sz="3" w:space="0" w:color="000000"/>
              <w:right w:val="nil"/>
            </w:tcBorders>
            <w:vAlign w:val="bottom"/>
          </w:tcPr>
          <w:p w14:paraId="22C13855"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w:t>
            </w:r>
          </w:p>
        </w:tc>
      </w:tr>
      <w:tr w:rsidR="00703566" w:rsidRPr="00703566" w14:paraId="04A7D81A" w14:textId="77777777" w:rsidTr="008A6F48">
        <w:trPr>
          <w:trHeight w:val="486"/>
        </w:trPr>
        <w:tc>
          <w:tcPr>
            <w:tcW w:w="2021" w:type="dxa"/>
            <w:tcBorders>
              <w:top w:val="single" w:sz="3" w:space="0" w:color="000000"/>
              <w:left w:val="single" w:sz="3" w:space="0" w:color="000000"/>
              <w:bottom w:val="single" w:sz="3" w:space="0" w:color="000000"/>
              <w:right w:val="single" w:sz="3" w:space="0" w:color="000000"/>
            </w:tcBorders>
            <w:vAlign w:val="bottom"/>
          </w:tcPr>
          <w:p w14:paraId="71EE1DC3"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No</w:t>
            </w:r>
          </w:p>
        </w:tc>
        <w:tc>
          <w:tcPr>
            <w:tcW w:w="1948" w:type="dxa"/>
            <w:tcBorders>
              <w:top w:val="single" w:sz="3" w:space="0" w:color="000000"/>
              <w:left w:val="single" w:sz="3" w:space="0" w:color="000000"/>
              <w:bottom w:val="single" w:sz="3" w:space="0" w:color="000000"/>
              <w:right w:val="nil"/>
            </w:tcBorders>
            <w:vAlign w:val="bottom"/>
          </w:tcPr>
          <w:p w14:paraId="56F8BC32"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w:t>
            </w:r>
          </w:p>
        </w:tc>
        <w:tc>
          <w:tcPr>
            <w:tcW w:w="1843" w:type="dxa"/>
            <w:tcBorders>
              <w:top w:val="single" w:sz="3" w:space="0" w:color="000000"/>
              <w:left w:val="nil"/>
              <w:bottom w:val="single" w:sz="3" w:space="0" w:color="000000"/>
              <w:right w:val="nil"/>
            </w:tcBorders>
            <w:vAlign w:val="bottom"/>
          </w:tcPr>
          <w:p w14:paraId="1F58BBD5"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13</w:t>
            </w:r>
          </w:p>
        </w:tc>
        <w:tc>
          <w:tcPr>
            <w:tcW w:w="1559" w:type="dxa"/>
            <w:tcBorders>
              <w:top w:val="single" w:sz="3" w:space="0" w:color="000000"/>
              <w:left w:val="nil"/>
              <w:bottom w:val="single" w:sz="3" w:space="0" w:color="000000"/>
              <w:right w:val="nil"/>
            </w:tcBorders>
            <w:vAlign w:val="bottom"/>
          </w:tcPr>
          <w:p w14:paraId="2A2AA2E9"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18</w:t>
            </w:r>
          </w:p>
        </w:tc>
        <w:tc>
          <w:tcPr>
            <w:tcW w:w="1985" w:type="dxa"/>
            <w:tcBorders>
              <w:top w:val="single" w:sz="3" w:space="0" w:color="000000"/>
              <w:left w:val="nil"/>
              <w:bottom w:val="single" w:sz="3" w:space="0" w:color="000000"/>
              <w:right w:val="nil"/>
            </w:tcBorders>
            <w:vAlign w:val="bottom"/>
          </w:tcPr>
          <w:p w14:paraId="40B897E4"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5</w:t>
            </w:r>
          </w:p>
        </w:tc>
      </w:tr>
      <w:tr w:rsidR="00703566" w:rsidRPr="00703566" w14:paraId="6E9A0058" w14:textId="77777777" w:rsidTr="008A6F48">
        <w:trPr>
          <w:trHeight w:val="486"/>
        </w:trPr>
        <w:tc>
          <w:tcPr>
            <w:tcW w:w="2021" w:type="dxa"/>
            <w:tcBorders>
              <w:top w:val="single" w:sz="3" w:space="0" w:color="000000"/>
              <w:left w:val="single" w:sz="3" w:space="0" w:color="000000"/>
              <w:bottom w:val="single" w:sz="3" w:space="0" w:color="000000"/>
              <w:right w:val="single" w:sz="3" w:space="0" w:color="000000"/>
            </w:tcBorders>
            <w:vAlign w:val="bottom"/>
          </w:tcPr>
          <w:p w14:paraId="361A21DB"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lastRenderedPageBreak/>
              <w:t>Anorexia Nervosa</w:t>
            </w:r>
          </w:p>
        </w:tc>
        <w:tc>
          <w:tcPr>
            <w:tcW w:w="1948" w:type="dxa"/>
            <w:tcBorders>
              <w:top w:val="single" w:sz="3" w:space="0" w:color="000000"/>
              <w:left w:val="single" w:sz="3" w:space="0" w:color="000000"/>
              <w:bottom w:val="single" w:sz="3" w:space="0" w:color="000000"/>
              <w:right w:val="nil"/>
            </w:tcBorders>
            <w:vAlign w:val="bottom"/>
          </w:tcPr>
          <w:p w14:paraId="2391A22E"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4</w:t>
            </w:r>
          </w:p>
        </w:tc>
        <w:tc>
          <w:tcPr>
            <w:tcW w:w="1843" w:type="dxa"/>
            <w:tcBorders>
              <w:top w:val="single" w:sz="3" w:space="0" w:color="000000"/>
              <w:left w:val="nil"/>
              <w:bottom w:val="single" w:sz="3" w:space="0" w:color="000000"/>
              <w:right w:val="nil"/>
            </w:tcBorders>
            <w:vAlign w:val="bottom"/>
          </w:tcPr>
          <w:p w14:paraId="25078D76"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10</w:t>
            </w:r>
          </w:p>
        </w:tc>
        <w:tc>
          <w:tcPr>
            <w:tcW w:w="1559" w:type="dxa"/>
            <w:tcBorders>
              <w:top w:val="single" w:sz="3" w:space="0" w:color="000000"/>
              <w:left w:val="nil"/>
              <w:bottom w:val="single" w:sz="3" w:space="0" w:color="000000"/>
              <w:right w:val="nil"/>
            </w:tcBorders>
            <w:vAlign w:val="bottom"/>
          </w:tcPr>
          <w:p w14:paraId="2DCABE09"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4</w:t>
            </w:r>
          </w:p>
        </w:tc>
        <w:tc>
          <w:tcPr>
            <w:tcW w:w="1985" w:type="dxa"/>
            <w:tcBorders>
              <w:top w:val="single" w:sz="3" w:space="0" w:color="000000"/>
              <w:left w:val="nil"/>
              <w:bottom w:val="single" w:sz="3" w:space="0" w:color="000000"/>
              <w:right w:val="nil"/>
            </w:tcBorders>
            <w:vAlign w:val="bottom"/>
          </w:tcPr>
          <w:p w14:paraId="55E934C3"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6</w:t>
            </w:r>
          </w:p>
        </w:tc>
      </w:tr>
      <w:tr w:rsidR="00703566" w:rsidRPr="00703566" w14:paraId="6DC80A66" w14:textId="77777777" w:rsidTr="008A6F48">
        <w:trPr>
          <w:trHeight w:val="486"/>
        </w:trPr>
        <w:tc>
          <w:tcPr>
            <w:tcW w:w="2021" w:type="dxa"/>
            <w:tcBorders>
              <w:top w:val="single" w:sz="3" w:space="0" w:color="000000"/>
              <w:left w:val="single" w:sz="3" w:space="0" w:color="000000"/>
              <w:bottom w:val="single" w:sz="3" w:space="0" w:color="000000"/>
              <w:right w:val="single" w:sz="3" w:space="0" w:color="000000"/>
            </w:tcBorders>
            <w:vAlign w:val="bottom"/>
          </w:tcPr>
          <w:p w14:paraId="250C1234" w14:textId="77777777" w:rsidR="00703566" w:rsidRPr="00703566" w:rsidRDefault="00703566" w:rsidP="00703566">
            <w:pPr>
              <w:spacing w:line="480" w:lineRule="auto"/>
              <w:jc w:val="both"/>
              <w:rPr>
                <w:rFonts w:ascii="Times New Roman" w:hAnsi="Times New Roman"/>
                <w:sz w:val="24"/>
                <w:szCs w:val="24"/>
              </w:rPr>
            </w:pPr>
            <w:r w:rsidRPr="00703566">
              <w:rPr>
                <w:rFonts w:ascii="Times New Roman" w:hAnsi="Times New Roman"/>
                <w:sz w:val="24"/>
                <w:szCs w:val="24"/>
              </w:rPr>
              <w:t>Bulimia Nervosa</w:t>
            </w:r>
          </w:p>
        </w:tc>
        <w:tc>
          <w:tcPr>
            <w:tcW w:w="1948" w:type="dxa"/>
            <w:tcBorders>
              <w:top w:val="single" w:sz="3" w:space="0" w:color="000000"/>
              <w:left w:val="single" w:sz="3" w:space="0" w:color="000000"/>
              <w:bottom w:val="single" w:sz="3" w:space="0" w:color="000000"/>
              <w:right w:val="nil"/>
            </w:tcBorders>
            <w:vAlign w:val="bottom"/>
          </w:tcPr>
          <w:p w14:paraId="5B230D76"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0</w:t>
            </w:r>
          </w:p>
        </w:tc>
        <w:tc>
          <w:tcPr>
            <w:tcW w:w="1843" w:type="dxa"/>
            <w:tcBorders>
              <w:top w:val="single" w:sz="3" w:space="0" w:color="000000"/>
              <w:left w:val="nil"/>
              <w:bottom w:val="single" w:sz="3" w:space="0" w:color="000000"/>
              <w:right w:val="nil"/>
            </w:tcBorders>
            <w:vAlign w:val="bottom"/>
          </w:tcPr>
          <w:p w14:paraId="6AC84706"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w:t>
            </w:r>
          </w:p>
        </w:tc>
        <w:tc>
          <w:tcPr>
            <w:tcW w:w="1559" w:type="dxa"/>
            <w:tcBorders>
              <w:top w:val="single" w:sz="3" w:space="0" w:color="000000"/>
              <w:left w:val="nil"/>
              <w:bottom w:val="single" w:sz="3" w:space="0" w:color="000000"/>
              <w:right w:val="nil"/>
            </w:tcBorders>
            <w:vAlign w:val="bottom"/>
          </w:tcPr>
          <w:p w14:paraId="2059A53F"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1</w:t>
            </w:r>
          </w:p>
        </w:tc>
        <w:tc>
          <w:tcPr>
            <w:tcW w:w="1985" w:type="dxa"/>
            <w:tcBorders>
              <w:top w:val="single" w:sz="3" w:space="0" w:color="000000"/>
              <w:left w:val="nil"/>
              <w:bottom w:val="single" w:sz="3" w:space="0" w:color="000000"/>
              <w:right w:val="nil"/>
            </w:tcBorders>
            <w:vAlign w:val="bottom"/>
          </w:tcPr>
          <w:p w14:paraId="2A25234D" w14:textId="77777777" w:rsidR="00703566" w:rsidRPr="00703566" w:rsidRDefault="00703566" w:rsidP="00703566">
            <w:pPr>
              <w:spacing w:line="480" w:lineRule="auto"/>
              <w:ind w:right="4"/>
              <w:jc w:val="both"/>
              <w:rPr>
                <w:rFonts w:ascii="Times New Roman" w:hAnsi="Times New Roman"/>
                <w:sz w:val="24"/>
                <w:szCs w:val="24"/>
              </w:rPr>
            </w:pPr>
            <w:r w:rsidRPr="00703566">
              <w:rPr>
                <w:rFonts w:ascii="Times New Roman" w:hAnsi="Times New Roman"/>
                <w:sz w:val="24"/>
                <w:szCs w:val="24"/>
              </w:rPr>
              <w:t>0</w:t>
            </w:r>
          </w:p>
        </w:tc>
      </w:tr>
      <w:tr w:rsidR="00703566" w:rsidRPr="00703566" w14:paraId="57328520" w14:textId="77777777" w:rsidTr="008A6F48">
        <w:trPr>
          <w:trHeight w:val="243"/>
        </w:trPr>
        <w:tc>
          <w:tcPr>
            <w:tcW w:w="2021" w:type="dxa"/>
            <w:tcBorders>
              <w:top w:val="single" w:sz="3" w:space="0" w:color="000000"/>
              <w:left w:val="single" w:sz="3" w:space="0" w:color="000000"/>
              <w:bottom w:val="nil"/>
              <w:right w:val="single" w:sz="3" w:space="0" w:color="000000"/>
            </w:tcBorders>
          </w:tcPr>
          <w:p w14:paraId="2E43EB8F" w14:textId="77777777" w:rsidR="00703566" w:rsidRPr="00703566" w:rsidRDefault="00703566" w:rsidP="00703566">
            <w:pPr>
              <w:spacing w:line="480" w:lineRule="auto"/>
              <w:jc w:val="both"/>
              <w:rPr>
                <w:rFonts w:ascii="Times New Roman" w:hAnsi="Times New Roman"/>
                <w:sz w:val="24"/>
                <w:szCs w:val="24"/>
              </w:rPr>
            </w:pPr>
          </w:p>
        </w:tc>
        <w:tc>
          <w:tcPr>
            <w:tcW w:w="7335" w:type="dxa"/>
            <w:gridSpan w:val="4"/>
            <w:tcBorders>
              <w:top w:val="single" w:sz="3" w:space="0" w:color="000000"/>
              <w:left w:val="single" w:sz="3" w:space="0" w:color="000000"/>
              <w:bottom w:val="nil"/>
              <w:right w:val="nil"/>
            </w:tcBorders>
          </w:tcPr>
          <w:p w14:paraId="7EB09434" w14:textId="77777777" w:rsidR="00703566" w:rsidRPr="00703566" w:rsidRDefault="00703566" w:rsidP="00703566">
            <w:pPr>
              <w:spacing w:line="480" w:lineRule="auto"/>
              <w:jc w:val="both"/>
              <w:rPr>
                <w:rFonts w:ascii="Times New Roman" w:hAnsi="Times New Roman"/>
                <w:sz w:val="24"/>
                <w:szCs w:val="24"/>
              </w:rPr>
            </w:pPr>
          </w:p>
        </w:tc>
      </w:tr>
    </w:tbl>
    <w:p w14:paraId="482A0EBE" w14:textId="77777777" w:rsidR="00703566" w:rsidRPr="00703566" w:rsidRDefault="00703566" w:rsidP="00703566">
      <w:pPr>
        <w:spacing w:after="254"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compare the relationship of eating disorders and nutritional status we use chi square test for independent of attributes.</w:t>
      </w:r>
    </w:p>
    <w:p w14:paraId="10845B01" w14:textId="77777777" w:rsidR="00703566" w:rsidRPr="00703566" w:rsidRDefault="00703566" w:rsidP="00703566">
      <w:pPr>
        <w:spacing w:after="271"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i/>
          <w:sz w:val="24"/>
          <w:szCs w:val="24"/>
          <w:lang w:val="en-US"/>
        </w:rPr>
        <w:t>χ</w:t>
      </w:r>
      <w:r w:rsidRPr="00703566">
        <w:rPr>
          <w:rFonts w:ascii="Times New Roman" w:eastAsia="Calibri" w:hAnsi="Times New Roman" w:cs="Times New Roman"/>
          <w:sz w:val="24"/>
          <w:szCs w:val="24"/>
          <w:vertAlign w:val="superscript"/>
          <w:lang w:val="en-US"/>
        </w:rPr>
        <w:t>2</w:t>
      </w:r>
      <w:r w:rsidRPr="00703566">
        <w:rPr>
          <w:rFonts w:ascii="Times New Roman" w:eastAsia="Calibri" w:hAnsi="Times New Roman" w:cs="Times New Roman"/>
          <w:sz w:val="24"/>
          <w:szCs w:val="24"/>
          <w:lang w:val="en-US"/>
        </w:rPr>
        <w:t>= 12</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361 df = 9 p value = 0</w:t>
      </w:r>
      <w:r w:rsidRPr="00703566">
        <w:rPr>
          <w:rFonts w:ascii="Times New Roman" w:eastAsia="Calibri" w:hAnsi="Times New Roman" w:cs="Times New Roman"/>
          <w:i/>
          <w:sz w:val="24"/>
          <w:szCs w:val="24"/>
          <w:lang w:val="en-US"/>
        </w:rPr>
        <w:t>.</w:t>
      </w:r>
      <w:r w:rsidRPr="00703566">
        <w:rPr>
          <w:rFonts w:ascii="Times New Roman" w:eastAsia="Calibri" w:hAnsi="Times New Roman" w:cs="Times New Roman"/>
          <w:sz w:val="24"/>
          <w:szCs w:val="24"/>
          <w:lang w:val="en-US"/>
        </w:rPr>
        <w:t>1937</w:t>
      </w:r>
    </w:p>
    <w:p w14:paraId="40A3EFE2"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Since the p value is greater than 0</w:t>
      </w:r>
      <w:r w:rsidRPr="00703566">
        <w:rPr>
          <w:rFonts w:ascii="Times New Roman" w:eastAsia="Calibri" w:hAnsi="Times New Roman" w:cs="Times New Roman"/>
          <w:i/>
          <w:sz w:val="24"/>
          <w:szCs w:val="24"/>
          <w:lang w:val="en-US"/>
        </w:rPr>
        <w:t>.</w:t>
      </w:r>
      <w:proofErr w:type="gramStart"/>
      <w:r w:rsidRPr="00703566">
        <w:rPr>
          <w:rFonts w:ascii="Times New Roman" w:eastAsia="Calibri" w:hAnsi="Times New Roman" w:cs="Times New Roman"/>
          <w:sz w:val="24"/>
          <w:szCs w:val="24"/>
          <w:lang w:val="en-US"/>
        </w:rPr>
        <w:t>05 .We</w:t>
      </w:r>
      <w:proofErr w:type="gramEnd"/>
      <w:r w:rsidRPr="00703566">
        <w:rPr>
          <w:rFonts w:ascii="Times New Roman" w:eastAsia="Calibri" w:hAnsi="Times New Roman" w:cs="Times New Roman"/>
          <w:sz w:val="24"/>
          <w:szCs w:val="24"/>
          <w:lang w:val="en-US"/>
        </w:rPr>
        <w:t xml:space="preserve"> accept the hypothesis that eating disorders and nutritional states are independent.</w:t>
      </w:r>
    </w:p>
    <w:p w14:paraId="6C36859E"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02B0FA69" w14:textId="77777777" w:rsidR="00703566" w:rsidRPr="00703566" w:rsidRDefault="00703566" w:rsidP="00703566">
      <w:pPr>
        <w:keepNext/>
        <w:keepLines/>
        <w:spacing w:before="240" w:after="136" w:line="480" w:lineRule="auto"/>
        <w:jc w:val="both"/>
        <w:outlineLvl w:val="0"/>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Comparison of psychological information between male and female</w:t>
      </w:r>
    </w:p>
    <w:p w14:paraId="5A8332EF" w14:textId="77777777" w:rsidR="00703566" w:rsidRPr="00703566" w:rsidRDefault="00703566" w:rsidP="00703566">
      <w:pPr>
        <w:keepNext/>
        <w:keepLines/>
        <w:spacing w:before="40" w:after="0" w:line="480" w:lineRule="auto"/>
        <w:jc w:val="both"/>
        <w:outlineLvl w:val="1"/>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Stress</w:t>
      </w:r>
    </w:p>
    <w:p w14:paraId="7645DBC8"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To compare the stress between male and female patients we use Wilcoxon signed rank test.</w:t>
      </w:r>
    </w:p>
    <w:p w14:paraId="710D7A25"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 = 345, p-value = 0.0002375 alternative hypothesis: true location shift is less than 0.</w:t>
      </w:r>
    </w:p>
    <w:p w14:paraId="2D13CC43" w14:textId="77777777" w:rsidR="00703566" w:rsidRPr="00703566" w:rsidRDefault="00703566" w:rsidP="00703566">
      <w:pPr>
        <w:spacing w:after="47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Since the p value is less than 0.05.</w:t>
      </w:r>
    </w:p>
    <w:p w14:paraId="6B8FF2B0" w14:textId="77777777" w:rsidR="00703566" w:rsidRPr="00703566" w:rsidRDefault="00703566" w:rsidP="00703566">
      <w:pPr>
        <w:spacing w:after="228"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Conclusion:</w:t>
      </w:r>
    </w:p>
    <w:p w14:paraId="0C5E4DAA" w14:textId="77777777" w:rsidR="00703566" w:rsidRPr="00703566" w:rsidRDefault="00703566" w:rsidP="00703566">
      <w:pPr>
        <w:spacing w:after="337"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We can conclude that stress level of men </w:t>
      </w:r>
      <w:proofErr w:type="gramStart"/>
      <w:r w:rsidRPr="00703566">
        <w:rPr>
          <w:rFonts w:ascii="Times New Roman" w:eastAsia="Calibri" w:hAnsi="Times New Roman" w:cs="Times New Roman"/>
          <w:sz w:val="24"/>
          <w:szCs w:val="24"/>
          <w:lang w:val="en-US"/>
        </w:rPr>
        <w:t>are</w:t>
      </w:r>
      <w:proofErr w:type="gramEnd"/>
      <w:r w:rsidRPr="00703566">
        <w:rPr>
          <w:rFonts w:ascii="Times New Roman" w:eastAsia="Calibri" w:hAnsi="Times New Roman" w:cs="Times New Roman"/>
          <w:sz w:val="24"/>
          <w:szCs w:val="24"/>
          <w:lang w:val="en-US"/>
        </w:rPr>
        <w:t xml:space="preserve"> less than female patients</w:t>
      </w:r>
    </w:p>
    <w:p w14:paraId="18D632D3" w14:textId="77777777" w:rsidR="00703566" w:rsidRPr="00703566" w:rsidRDefault="00703566" w:rsidP="00703566">
      <w:pPr>
        <w:keepNext/>
        <w:keepLines/>
        <w:spacing w:before="40" w:after="0" w:line="480" w:lineRule="auto"/>
        <w:jc w:val="both"/>
        <w:outlineLvl w:val="1"/>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Anxiety</w:t>
      </w:r>
    </w:p>
    <w:p w14:paraId="6C6887BD"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 = 357.5, p-value = 0.0007043: true location shift is less than 0.</w:t>
      </w:r>
    </w:p>
    <w:p w14:paraId="012C5B9E" w14:textId="77777777" w:rsidR="00703566" w:rsidRPr="00703566" w:rsidRDefault="00703566" w:rsidP="00703566">
      <w:pPr>
        <w:spacing w:after="231"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Since the p value is less than 0.05.</w:t>
      </w:r>
    </w:p>
    <w:p w14:paraId="1DC37CEA" w14:textId="77777777" w:rsidR="00703566" w:rsidRPr="00703566" w:rsidRDefault="00703566" w:rsidP="00703566">
      <w:pPr>
        <w:spacing w:after="228"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Conclusion:</w:t>
      </w:r>
    </w:p>
    <w:p w14:paraId="6F9BDF8B" w14:textId="77777777" w:rsidR="00703566" w:rsidRPr="00703566" w:rsidRDefault="00703566" w:rsidP="00703566">
      <w:pPr>
        <w:spacing w:after="337"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lastRenderedPageBreak/>
        <w:t xml:space="preserve">We can conclude that anxiety level of men </w:t>
      </w:r>
      <w:proofErr w:type="gramStart"/>
      <w:r w:rsidRPr="00703566">
        <w:rPr>
          <w:rFonts w:ascii="Times New Roman" w:eastAsia="Calibri" w:hAnsi="Times New Roman" w:cs="Times New Roman"/>
          <w:sz w:val="24"/>
          <w:szCs w:val="24"/>
          <w:lang w:val="en-US"/>
        </w:rPr>
        <w:t>are</w:t>
      </w:r>
      <w:proofErr w:type="gramEnd"/>
      <w:r w:rsidRPr="00703566">
        <w:rPr>
          <w:rFonts w:ascii="Times New Roman" w:eastAsia="Calibri" w:hAnsi="Times New Roman" w:cs="Times New Roman"/>
          <w:sz w:val="24"/>
          <w:szCs w:val="24"/>
          <w:lang w:val="en-US"/>
        </w:rPr>
        <w:t xml:space="preserve"> less than female patients.</w:t>
      </w:r>
    </w:p>
    <w:p w14:paraId="49DBC83A" w14:textId="77777777" w:rsidR="00703566" w:rsidRPr="00703566" w:rsidRDefault="00703566" w:rsidP="00703566">
      <w:pPr>
        <w:keepNext/>
        <w:keepLines/>
        <w:spacing w:before="40" w:after="0" w:line="480" w:lineRule="auto"/>
        <w:jc w:val="both"/>
        <w:outlineLvl w:val="1"/>
        <w:rPr>
          <w:rFonts w:ascii="Times New Roman" w:eastAsia="Times New Roman" w:hAnsi="Times New Roman" w:cs="Times New Roman"/>
          <w:b/>
          <w:bCs/>
          <w:sz w:val="24"/>
          <w:szCs w:val="24"/>
          <w:lang w:val="en-GB"/>
        </w:rPr>
      </w:pPr>
      <w:r w:rsidRPr="00703566">
        <w:rPr>
          <w:rFonts w:ascii="Times New Roman" w:eastAsia="Times New Roman" w:hAnsi="Times New Roman" w:cs="Times New Roman"/>
          <w:b/>
          <w:bCs/>
          <w:sz w:val="24"/>
          <w:szCs w:val="24"/>
          <w:lang w:val="en-GB"/>
        </w:rPr>
        <w:t>Depression</w:t>
      </w:r>
    </w:p>
    <w:p w14:paraId="0F9D2A85"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W = 392.5, p-value = 0.002915: true location shift is less than 0.</w:t>
      </w:r>
    </w:p>
    <w:p w14:paraId="1B74F4CE" w14:textId="77777777" w:rsidR="00703566" w:rsidRPr="00703566" w:rsidRDefault="00703566" w:rsidP="00703566">
      <w:pPr>
        <w:spacing w:after="231"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Since the p value is less than 0.05.</w:t>
      </w:r>
    </w:p>
    <w:p w14:paraId="70E0370F" w14:textId="77777777" w:rsidR="00703566" w:rsidRPr="00703566" w:rsidRDefault="00703566" w:rsidP="00703566">
      <w:pPr>
        <w:spacing w:after="228"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Conclusion:</w:t>
      </w:r>
    </w:p>
    <w:p w14:paraId="64AD2B70"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r w:rsidRPr="00703566">
        <w:rPr>
          <w:rFonts w:ascii="Times New Roman" w:eastAsia="Calibri" w:hAnsi="Times New Roman" w:cs="Times New Roman"/>
          <w:sz w:val="24"/>
          <w:szCs w:val="24"/>
          <w:lang w:val="en-US"/>
        </w:rPr>
        <w:t xml:space="preserve">We can conclude that depression level of men </w:t>
      </w:r>
      <w:proofErr w:type="gramStart"/>
      <w:r w:rsidRPr="00703566">
        <w:rPr>
          <w:rFonts w:ascii="Times New Roman" w:eastAsia="Calibri" w:hAnsi="Times New Roman" w:cs="Times New Roman"/>
          <w:sz w:val="24"/>
          <w:szCs w:val="24"/>
          <w:lang w:val="en-US"/>
        </w:rPr>
        <w:t>are</w:t>
      </w:r>
      <w:proofErr w:type="gramEnd"/>
      <w:r w:rsidRPr="00703566">
        <w:rPr>
          <w:rFonts w:ascii="Times New Roman" w:eastAsia="Calibri" w:hAnsi="Times New Roman" w:cs="Times New Roman"/>
          <w:sz w:val="24"/>
          <w:szCs w:val="24"/>
          <w:lang w:val="en-US"/>
        </w:rPr>
        <w:t xml:space="preserve"> less than female patients.</w:t>
      </w:r>
    </w:p>
    <w:p w14:paraId="62686497"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59E7ED30"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31833FB4" w14:textId="77777777" w:rsidR="00703566" w:rsidRPr="00703566" w:rsidRDefault="00703566" w:rsidP="00703566">
      <w:pPr>
        <w:spacing w:after="200" w:line="480" w:lineRule="auto"/>
        <w:jc w:val="both"/>
        <w:rPr>
          <w:rFonts w:ascii="Times New Roman" w:eastAsia="Calibri" w:hAnsi="Times New Roman" w:cs="Times New Roman"/>
          <w:sz w:val="24"/>
          <w:szCs w:val="24"/>
          <w:lang w:val="en-US"/>
        </w:rPr>
      </w:pPr>
    </w:p>
    <w:p w14:paraId="132F9A22" w14:textId="77777777" w:rsidR="00703566" w:rsidRPr="00703566" w:rsidRDefault="00703566" w:rsidP="00703566">
      <w:pPr>
        <w:spacing w:line="480" w:lineRule="auto"/>
        <w:jc w:val="both"/>
        <w:rPr>
          <w:rFonts w:ascii="Times New Roman" w:hAnsi="Times New Roman" w:cs="Times New Roman"/>
          <w:sz w:val="24"/>
          <w:szCs w:val="24"/>
        </w:rPr>
      </w:pPr>
    </w:p>
    <w:p w14:paraId="5EABFCDA" w14:textId="77777777" w:rsidR="00703566" w:rsidRDefault="00703566"/>
    <w:sectPr w:rsidR="007035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462"/>
    <w:multiLevelType w:val="hybridMultilevel"/>
    <w:tmpl w:val="029210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187984"/>
    <w:multiLevelType w:val="hybridMultilevel"/>
    <w:tmpl w:val="BD9239D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9C24E9"/>
    <w:multiLevelType w:val="hybridMultilevel"/>
    <w:tmpl w:val="6BA63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D35296"/>
    <w:multiLevelType w:val="hybridMultilevel"/>
    <w:tmpl w:val="26028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C802DDD"/>
    <w:multiLevelType w:val="hybridMultilevel"/>
    <w:tmpl w:val="7D54A616"/>
    <w:lvl w:ilvl="0" w:tplc="00FC28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75263C"/>
    <w:multiLevelType w:val="hybridMultilevel"/>
    <w:tmpl w:val="D92E4E0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17D1557"/>
    <w:multiLevelType w:val="hybridMultilevel"/>
    <w:tmpl w:val="9962C0F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15DF30A9"/>
    <w:multiLevelType w:val="hybridMultilevel"/>
    <w:tmpl w:val="F5D227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3486E"/>
    <w:multiLevelType w:val="hybridMultilevel"/>
    <w:tmpl w:val="DA5A374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183A26DA"/>
    <w:multiLevelType w:val="multilevel"/>
    <w:tmpl w:val="8072300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10" w15:restartNumberingAfterBreak="0">
    <w:nsid w:val="189D0201"/>
    <w:multiLevelType w:val="hybridMultilevel"/>
    <w:tmpl w:val="636C8588"/>
    <w:lvl w:ilvl="0" w:tplc="8662D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E535C2"/>
    <w:multiLevelType w:val="hybridMultilevel"/>
    <w:tmpl w:val="39FE2D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03475E"/>
    <w:multiLevelType w:val="hybridMultilevel"/>
    <w:tmpl w:val="66DA51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3272CD"/>
    <w:multiLevelType w:val="multilevel"/>
    <w:tmpl w:val="65062C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07637D"/>
    <w:multiLevelType w:val="hybridMultilevel"/>
    <w:tmpl w:val="71B25AA0"/>
    <w:lvl w:ilvl="0" w:tplc="6346E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5272A2"/>
    <w:multiLevelType w:val="hybridMultilevel"/>
    <w:tmpl w:val="0C6288F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B84D64"/>
    <w:multiLevelType w:val="hybridMultilevel"/>
    <w:tmpl w:val="7004C1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7D51303"/>
    <w:multiLevelType w:val="hybridMultilevel"/>
    <w:tmpl w:val="0A28E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B71453"/>
    <w:multiLevelType w:val="hybridMultilevel"/>
    <w:tmpl w:val="CCEAAF54"/>
    <w:lvl w:ilvl="0" w:tplc="9F60D81E">
      <w:start w:val="1"/>
      <w:numFmt w:val="decimal"/>
      <w:lvlText w:val="%1."/>
      <w:lvlJc w:val="left"/>
      <w:pPr>
        <w:ind w:left="644" w:hanging="360"/>
      </w:pPr>
      <w:rPr>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C651052"/>
    <w:multiLevelType w:val="hybridMultilevel"/>
    <w:tmpl w:val="70CA7894"/>
    <w:lvl w:ilvl="0" w:tplc="853AA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A4004B"/>
    <w:multiLevelType w:val="hybridMultilevel"/>
    <w:tmpl w:val="9CE0DED4"/>
    <w:lvl w:ilvl="0" w:tplc="40090005">
      <w:start w:val="1"/>
      <w:numFmt w:val="bullet"/>
      <w:lvlText w:val=""/>
      <w:lvlJc w:val="left"/>
      <w:pPr>
        <w:ind w:left="720" w:hanging="360"/>
      </w:pPr>
      <w:rPr>
        <w:rFonts w:ascii="Wingdings" w:hAnsi="Wingdings" w:hint="default"/>
      </w:rPr>
    </w:lvl>
    <w:lvl w:ilvl="1" w:tplc="F1E458E0">
      <w:numFmt w:val="bullet"/>
      <w:lvlText w:val=""/>
      <w:lvlJc w:val="left"/>
      <w:pPr>
        <w:ind w:left="643" w:hanging="360"/>
      </w:pPr>
      <w:rPr>
        <w:rFonts w:ascii="Wingdings" w:eastAsia="Wingdings" w:hAnsi="Wingdings" w:cs="Wingdings" w:hint="default"/>
        <w:sz w:val="22"/>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0A8028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3D973E8"/>
    <w:multiLevelType w:val="hybridMultilevel"/>
    <w:tmpl w:val="5308DB1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49F24F4"/>
    <w:multiLevelType w:val="multilevel"/>
    <w:tmpl w:val="4D0AE62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12123F"/>
    <w:multiLevelType w:val="hybridMultilevel"/>
    <w:tmpl w:val="C1A8BCCA"/>
    <w:lvl w:ilvl="0" w:tplc="93E0750A">
      <w:start w:val="1"/>
      <w:numFmt w:val="bullet"/>
      <w:lvlText w:val=""/>
      <w:lvlJc w:val="left"/>
      <w:pPr>
        <w:ind w:left="720" w:hanging="360"/>
      </w:pPr>
      <w:rPr>
        <w:rFonts w:ascii="Wingdings" w:hAnsi="Wingdings"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5" w15:restartNumberingAfterBreak="0">
    <w:nsid w:val="58964534"/>
    <w:multiLevelType w:val="hybridMultilevel"/>
    <w:tmpl w:val="2C287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E607C9"/>
    <w:multiLevelType w:val="hybridMultilevel"/>
    <w:tmpl w:val="E75C6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154C2E"/>
    <w:multiLevelType w:val="hybridMultilevel"/>
    <w:tmpl w:val="6876F7A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6C874FC4"/>
    <w:multiLevelType w:val="hybridMultilevel"/>
    <w:tmpl w:val="8BD29FAC"/>
    <w:lvl w:ilvl="0" w:tplc="10DE9B4A">
      <w:start w:val="1"/>
      <w:numFmt w:val="bullet"/>
      <w:lvlText w:val=""/>
      <w:lvlJc w:val="left"/>
      <w:pPr>
        <w:tabs>
          <w:tab w:val="num" w:pos="720"/>
        </w:tabs>
        <w:ind w:left="720" w:hanging="360"/>
      </w:pPr>
      <w:rPr>
        <w:rFonts w:ascii="Wingdings" w:hAnsi="Wingdings" w:hint="default"/>
      </w:rPr>
    </w:lvl>
    <w:lvl w:ilvl="1" w:tplc="D9067D96" w:tentative="1">
      <w:start w:val="1"/>
      <w:numFmt w:val="bullet"/>
      <w:lvlText w:val=""/>
      <w:lvlJc w:val="left"/>
      <w:pPr>
        <w:tabs>
          <w:tab w:val="num" w:pos="1440"/>
        </w:tabs>
        <w:ind w:left="1440" w:hanging="360"/>
      </w:pPr>
      <w:rPr>
        <w:rFonts w:ascii="Wingdings" w:hAnsi="Wingdings" w:hint="default"/>
      </w:rPr>
    </w:lvl>
    <w:lvl w:ilvl="2" w:tplc="79E24FF8" w:tentative="1">
      <w:start w:val="1"/>
      <w:numFmt w:val="bullet"/>
      <w:lvlText w:val=""/>
      <w:lvlJc w:val="left"/>
      <w:pPr>
        <w:tabs>
          <w:tab w:val="num" w:pos="2160"/>
        </w:tabs>
        <w:ind w:left="2160" w:hanging="360"/>
      </w:pPr>
      <w:rPr>
        <w:rFonts w:ascii="Wingdings" w:hAnsi="Wingdings" w:hint="default"/>
      </w:rPr>
    </w:lvl>
    <w:lvl w:ilvl="3" w:tplc="436CE964" w:tentative="1">
      <w:start w:val="1"/>
      <w:numFmt w:val="bullet"/>
      <w:lvlText w:val=""/>
      <w:lvlJc w:val="left"/>
      <w:pPr>
        <w:tabs>
          <w:tab w:val="num" w:pos="2880"/>
        </w:tabs>
        <w:ind w:left="2880" w:hanging="360"/>
      </w:pPr>
      <w:rPr>
        <w:rFonts w:ascii="Wingdings" w:hAnsi="Wingdings" w:hint="default"/>
      </w:rPr>
    </w:lvl>
    <w:lvl w:ilvl="4" w:tplc="39A4A23C" w:tentative="1">
      <w:start w:val="1"/>
      <w:numFmt w:val="bullet"/>
      <w:lvlText w:val=""/>
      <w:lvlJc w:val="left"/>
      <w:pPr>
        <w:tabs>
          <w:tab w:val="num" w:pos="3600"/>
        </w:tabs>
        <w:ind w:left="3600" w:hanging="360"/>
      </w:pPr>
      <w:rPr>
        <w:rFonts w:ascii="Wingdings" w:hAnsi="Wingdings" w:hint="default"/>
      </w:rPr>
    </w:lvl>
    <w:lvl w:ilvl="5" w:tplc="73A282D2" w:tentative="1">
      <w:start w:val="1"/>
      <w:numFmt w:val="bullet"/>
      <w:lvlText w:val=""/>
      <w:lvlJc w:val="left"/>
      <w:pPr>
        <w:tabs>
          <w:tab w:val="num" w:pos="4320"/>
        </w:tabs>
        <w:ind w:left="4320" w:hanging="360"/>
      </w:pPr>
      <w:rPr>
        <w:rFonts w:ascii="Wingdings" w:hAnsi="Wingdings" w:hint="default"/>
      </w:rPr>
    </w:lvl>
    <w:lvl w:ilvl="6" w:tplc="54C2E6B6" w:tentative="1">
      <w:start w:val="1"/>
      <w:numFmt w:val="bullet"/>
      <w:lvlText w:val=""/>
      <w:lvlJc w:val="left"/>
      <w:pPr>
        <w:tabs>
          <w:tab w:val="num" w:pos="5040"/>
        </w:tabs>
        <w:ind w:left="5040" w:hanging="360"/>
      </w:pPr>
      <w:rPr>
        <w:rFonts w:ascii="Wingdings" w:hAnsi="Wingdings" w:hint="default"/>
      </w:rPr>
    </w:lvl>
    <w:lvl w:ilvl="7" w:tplc="8668E294" w:tentative="1">
      <w:start w:val="1"/>
      <w:numFmt w:val="bullet"/>
      <w:lvlText w:val=""/>
      <w:lvlJc w:val="left"/>
      <w:pPr>
        <w:tabs>
          <w:tab w:val="num" w:pos="5760"/>
        </w:tabs>
        <w:ind w:left="5760" w:hanging="360"/>
      </w:pPr>
      <w:rPr>
        <w:rFonts w:ascii="Wingdings" w:hAnsi="Wingdings" w:hint="default"/>
      </w:rPr>
    </w:lvl>
    <w:lvl w:ilvl="8" w:tplc="EDFED48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371457"/>
    <w:multiLevelType w:val="hybridMultilevel"/>
    <w:tmpl w:val="1E482C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411F4D"/>
    <w:multiLevelType w:val="hybridMultilevel"/>
    <w:tmpl w:val="DA5A374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6"/>
  </w:num>
  <w:num w:numId="2">
    <w:abstractNumId w:val="2"/>
  </w:num>
  <w:num w:numId="3">
    <w:abstractNumId w:val="22"/>
  </w:num>
  <w:num w:numId="4">
    <w:abstractNumId w:val="9"/>
  </w:num>
  <w:num w:numId="5">
    <w:abstractNumId w:val="5"/>
  </w:num>
  <w:num w:numId="6">
    <w:abstractNumId w:val="6"/>
  </w:num>
  <w:num w:numId="7">
    <w:abstractNumId w:val="24"/>
  </w:num>
  <w:num w:numId="8">
    <w:abstractNumId w:val="27"/>
  </w:num>
  <w:num w:numId="9">
    <w:abstractNumId w:val="18"/>
  </w:num>
  <w:num w:numId="10">
    <w:abstractNumId w:val="13"/>
  </w:num>
  <w:num w:numId="11">
    <w:abstractNumId w:val="23"/>
  </w:num>
  <w:num w:numId="12">
    <w:abstractNumId w:val="17"/>
  </w:num>
  <w:num w:numId="13">
    <w:abstractNumId w:val="8"/>
  </w:num>
  <w:num w:numId="14">
    <w:abstractNumId w:val="30"/>
  </w:num>
  <w:num w:numId="15">
    <w:abstractNumId w:val="29"/>
  </w:num>
  <w:num w:numId="16">
    <w:abstractNumId w:val="12"/>
  </w:num>
  <w:num w:numId="17">
    <w:abstractNumId w:val="25"/>
  </w:num>
  <w:num w:numId="18">
    <w:abstractNumId w:val="7"/>
  </w:num>
  <w:num w:numId="19">
    <w:abstractNumId w:val="11"/>
  </w:num>
  <w:num w:numId="20">
    <w:abstractNumId w:val="26"/>
  </w:num>
  <w:num w:numId="21">
    <w:abstractNumId w:val="15"/>
  </w:num>
  <w:num w:numId="22">
    <w:abstractNumId w:val="19"/>
  </w:num>
  <w:num w:numId="23">
    <w:abstractNumId w:val="10"/>
  </w:num>
  <w:num w:numId="24">
    <w:abstractNumId w:val="14"/>
  </w:num>
  <w:num w:numId="25">
    <w:abstractNumId w:val="4"/>
  </w:num>
  <w:num w:numId="26">
    <w:abstractNumId w:val="21"/>
  </w:num>
  <w:num w:numId="27">
    <w:abstractNumId w:val="0"/>
  </w:num>
  <w:num w:numId="28">
    <w:abstractNumId w:val="20"/>
  </w:num>
  <w:num w:numId="29">
    <w:abstractNumId w:val="1"/>
  </w:num>
  <w:num w:numId="30">
    <w:abstractNumId w:val="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566"/>
    <w:rsid w:val="007035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B2531"/>
  <w15:chartTrackingRefBased/>
  <w15:docId w15:val="{DB9A0458-E1FF-4D6A-BEE0-352B490D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566"/>
    <w:pPr>
      <w:keepNext/>
      <w:keepLines/>
      <w:spacing w:before="240" w:after="0"/>
      <w:outlineLvl w:val="0"/>
    </w:pPr>
    <w:rPr>
      <w:rFonts w:ascii="Cambria" w:eastAsia="Times New Roman" w:hAnsi="Cambria" w:cs="Times New Roman"/>
      <w:color w:val="365F91"/>
      <w:sz w:val="32"/>
      <w:szCs w:val="32"/>
      <w:lang w:val="en-GB"/>
    </w:rPr>
  </w:style>
  <w:style w:type="paragraph" w:styleId="Heading2">
    <w:name w:val="heading 2"/>
    <w:basedOn w:val="Normal"/>
    <w:next w:val="Normal"/>
    <w:link w:val="Heading2Char"/>
    <w:uiPriority w:val="9"/>
    <w:semiHidden/>
    <w:unhideWhenUsed/>
    <w:qFormat/>
    <w:rsid w:val="00703566"/>
    <w:pPr>
      <w:keepNext/>
      <w:keepLines/>
      <w:spacing w:before="40" w:after="0"/>
      <w:outlineLvl w:val="1"/>
    </w:pPr>
    <w:rPr>
      <w:rFonts w:ascii="Cambria" w:eastAsia="Times New Roman" w:hAnsi="Cambria" w:cs="Times New Roman"/>
      <w:color w:val="365F9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566"/>
    <w:rPr>
      <w:rFonts w:ascii="Cambria" w:eastAsia="Times New Roman" w:hAnsi="Cambria" w:cs="Times New Roman"/>
      <w:color w:val="365F91"/>
      <w:sz w:val="32"/>
      <w:szCs w:val="32"/>
      <w:lang w:val="en-GB"/>
    </w:rPr>
  </w:style>
  <w:style w:type="character" w:customStyle="1" w:styleId="Heading2Char">
    <w:name w:val="Heading 2 Char"/>
    <w:basedOn w:val="DefaultParagraphFont"/>
    <w:link w:val="Heading2"/>
    <w:uiPriority w:val="9"/>
    <w:semiHidden/>
    <w:rsid w:val="00703566"/>
    <w:rPr>
      <w:rFonts w:ascii="Cambria" w:eastAsia="Times New Roman" w:hAnsi="Cambria" w:cs="Times New Roman"/>
      <w:color w:val="365F91"/>
      <w:sz w:val="26"/>
      <w:szCs w:val="26"/>
      <w:lang w:val="en-GB"/>
    </w:rPr>
  </w:style>
  <w:style w:type="table" w:styleId="TableGrid">
    <w:name w:val="Table Grid"/>
    <w:basedOn w:val="TableNormal"/>
    <w:uiPriority w:val="59"/>
    <w:rsid w:val="00703566"/>
    <w:pPr>
      <w:spacing w:after="0" w:line="240" w:lineRule="auto"/>
    </w:pPr>
    <w:rPr>
      <w:rFonts w:ascii="Calibri" w:eastAsia="Calibri" w:hAnsi="Calibri" w:cs="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70356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03566"/>
    <w:rPr>
      <w:b/>
      <w:bCs/>
    </w:rPr>
  </w:style>
  <w:style w:type="character" w:styleId="Emphasis">
    <w:name w:val="Emphasis"/>
    <w:basedOn w:val="DefaultParagraphFont"/>
    <w:uiPriority w:val="20"/>
    <w:qFormat/>
    <w:rsid w:val="00703566"/>
    <w:rPr>
      <w:i/>
      <w:iCs/>
    </w:rPr>
  </w:style>
  <w:style w:type="table" w:customStyle="1" w:styleId="TableGrid1">
    <w:name w:val="Table Grid1"/>
    <w:basedOn w:val="TableNormal"/>
    <w:next w:val="TableGrid"/>
    <w:uiPriority w:val="59"/>
    <w:rsid w:val="0070356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03566"/>
    <w:pPr>
      <w:ind w:left="720"/>
      <w:contextualSpacing/>
    </w:pPr>
  </w:style>
  <w:style w:type="character" w:styleId="SubtleEmphasis">
    <w:name w:val="Subtle Emphasis"/>
    <w:basedOn w:val="DefaultParagraphFont"/>
    <w:uiPriority w:val="19"/>
    <w:qFormat/>
    <w:rsid w:val="00703566"/>
    <w:rPr>
      <w:i/>
      <w:iCs/>
      <w:color w:val="404040" w:themeColor="text1" w:themeTint="BF"/>
    </w:rPr>
  </w:style>
  <w:style w:type="numbering" w:customStyle="1" w:styleId="NoList1">
    <w:name w:val="No List1"/>
    <w:next w:val="NoList"/>
    <w:uiPriority w:val="99"/>
    <w:semiHidden/>
    <w:unhideWhenUsed/>
    <w:rsid w:val="00703566"/>
  </w:style>
  <w:style w:type="table" w:customStyle="1" w:styleId="TableGrid2">
    <w:name w:val="Table Grid2"/>
    <w:basedOn w:val="TableNormal"/>
    <w:next w:val="TableGrid"/>
    <w:uiPriority w:val="39"/>
    <w:rsid w:val="0070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3566"/>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03566"/>
    <w:rPr>
      <w:rFonts w:ascii="Calibri" w:eastAsia="Calibri" w:hAnsi="Calibri" w:cs="Times New Roman"/>
    </w:rPr>
  </w:style>
  <w:style w:type="paragraph" w:styleId="Footer">
    <w:name w:val="footer"/>
    <w:basedOn w:val="Normal"/>
    <w:link w:val="FooterChar"/>
    <w:uiPriority w:val="99"/>
    <w:unhideWhenUsed/>
    <w:rsid w:val="00703566"/>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03566"/>
    <w:rPr>
      <w:rFonts w:ascii="Calibri" w:eastAsia="Calibri" w:hAnsi="Calibri" w:cs="Times New Roman"/>
    </w:rPr>
  </w:style>
  <w:style w:type="paragraph" w:customStyle="1" w:styleId="Heading11">
    <w:name w:val="Heading 11"/>
    <w:basedOn w:val="Normal"/>
    <w:next w:val="Normal"/>
    <w:uiPriority w:val="9"/>
    <w:qFormat/>
    <w:rsid w:val="00703566"/>
    <w:pPr>
      <w:keepNext/>
      <w:keepLines/>
      <w:spacing w:before="240" w:after="0"/>
      <w:outlineLvl w:val="0"/>
    </w:pPr>
    <w:rPr>
      <w:rFonts w:ascii="Cambria" w:eastAsia="Times New Roman" w:hAnsi="Cambria" w:cs="Times New Roman"/>
      <w:color w:val="365F91"/>
      <w:sz w:val="32"/>
      <w:szCs w:val="32"/>
      <w:lang w:val="en-GB"/>
    </w:rPr>
  </w:style>
  <w:style w:type="paragraph" w:customStyle="1" w:styleId="Heading21">
    <w:name w:val="Heading 21"/>
    <w:basedOn w:val="Normal"/>
    <w:next w:val="Normal"/>
    <w:uiPriority w:val="9"/>
    <w:unhideWhenUsed/>
    <w:qFormat/>
    <w:rsid w:val="00703566"/>
    <w:pPr>
      <w:keepNext/>
      <w:keepLines/>
      <w:spacing w:before="40" w:after="0"/>
      <w:outlineLvl w:val="1"/>
    </w:pPr>
    <w:rPr>
      <w:rFonts w:ascii="Cambria" w:eastAsia="Times New Roman" w:hAnsi="Cambria" w:cs="Times New Roman"/>
      <w:color w:val="365F91"/>
      <w:sz w:val="26"/>
      <w:szCs w:val="26"/>
      <w:lang w:val="en-GB"/>
    </w:rPr>
  </w:style>
  <w:style w:type="numbering" w:customStyle="1" w:styleId="NoList2">
    <w:name w:val="No List2"/>
    <w:next w:val="NoList"/>
    <w:uiPriority w:val="99"/>
    <w:semiHidden/>
    <w:unhideWhenUsed/>
    <w:rsid w:val="00703566"/>
  </w:style>
  <w:style w:type="table" w:customStyle="1" w:styleId="TableGrid0">
    <w:name w:val="TableGrid"/>
    <w:rsid w:val="00703566"/>
    <w:pPr>
      <w:spacing w:after="0" w:line="240" w:lineRule="auto"/>
    </w:pPr>
    <w:rPr>
      <w:rFonts w:eastAsia="Times New Roman"/>
      <w:lang w:val="en-GB"/>
    </w:rPr>
    <w:tblPr>
      <w:tblCellMar>
        <w:top w:w="0" w:type="dxa"/>
        <w:left w:w="0" w:type="dxa"/>
        <w:bottom w:w="0" w:type="dxa"/>
        <w:right w:w="0" w:type="dxa"/>
      </w:tblCellMar>
    </w:tblPr>
  </w:style>
  <w:style w:type="paragraph" w:styleId="NoSpacing">
    <w:name w:val="No Spacing"/>
    <w:uiPriority w:val="1"/>
    <w:qFormat/>
    <w:rsid w:val="00703566"/>
    <w:pPr>
      <w:spacing w:after="0" w:line="240" w:lineRule="auto"/>
    </w:pPr>
    <w:rPr>
      <w:lang w:val="en-US"/>
    </w:rPr>
  </w:style>
  <w:style w:type="table" w:customStyle="1" w:styleId="TableGrid3">
    <w:name w:val="Table Grid3"/>
    <w:basedOn w:val="TableNormal"/>
    <w:next w:val="TableGrid"/>
    <w:uiPriority w:val="39"/>
    <w:rsid w:val="0070356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703566"/>
    <w:pPr>
      <w:spacing w:after="0" w:line="240" w:lineRule="auto"/>
    </w:pPr>
    <w:rPr>
      <w:rFonts w:ascii="Calibri" w:eastAsia="Calibri" w:hAnsi="Calibri" w:cs="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uiPriority w:val="9"/>
    <w:rsid w:val="00703566"/>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703566"/>
    <w:rPr>
      <w:rFonts w:asciiTheme="majorHAnsi" w:eastAsiaTheme="majorEastAsia" w:hAnsiTheme="majorHAnsi" w:cstheme="majorBidi"/>
      <w:color w:val="2F5496" w:themeColor="accent1" w:themeShade="BF"/>
      <w:sz w:val="26"/>
      <w:szCs w:val="26"/>
    </w:rPr>
  </w:style>
  <w:style w:type="numbering" w:customStyle="1" w:styleId="NoList3">
    <w:name w:val="No List3"/>
    <w:next w:val="NoList"/>
    <w:uiPriority w:val="99"/>
    <w:semiHidden/>
    <w:unhideWhenUsed/>
    <w:rsid w:val="00703566"/>
  </w:style>
  <w:style w:type="table" w:customStyle="1" w:styleId="TableGrid4">
    <w:name w:val="Table Grid4"/>
    <w:basedOn w:val="TableNormal"/>
    <w:next w:val="TableGrid"/>
    <w:uiPriority w:val="59"/>
    <w:rsid w:val="00703566"/>
    <w:pPr>
      <w:spacing w:after="0" w:line="240" w:lineRule="auto"/>
    </w:pPr>
    <w:rPr>
      <w:rFonts w:ascii="Calibri" w:eastAsia="Calibri" w:hAnsi="Calibri" w:cs="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70356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703566"/>
  </w:style>
  <w:style w:type="table" w:customStyle="1" w:styleId="TableGrid21">
    <w:name w:val="Table Grid21"/>
    <w:basedOn w:val="TableNormal"/>
    <w:next w:val="TableGrid"/>
    <w:uiPriority w:val="39"/>
    <w:rsid w:val="0070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03566"/>
  </w:style>
  <w:style w:type="table" w:customStyle="1" w:styleId="TableGrid10">
    <w:name w:val="TableGrid1"/>
    <w:rsid w:val="00703566"/>
    <w:pPr>
      <w:spacing w:after="0" w:line="240" w:lineRule="auto"/>
    </w:pPr>
    <w:rPr>
      <w:rFonts w:eastAsia="Times New Roman"/>
      <w:lang w:val="en-GB"/>
    </w:rPr>
    <w:tblPr>
      <w:tblCellMar>
        <w:top w:w="0" w:type="dxa"/>
        <w:left w:w="0" w:type="dxa"/>
        <w:bottom w:w="0" w:type="dxa"/>
        <w:right w:w="0" w:type="dxa"/>
      </w:tblCellMar>
    </w:tblPr>
  </w:style>
  <w:style w:type="table" w:customStyle="1" w:styleId="TableGrid31">
    <w:name w:val="Table Grid31"/>
    <w:basedOn w:val="TableNormal"/>
    <w:next w:val="TableGrid"/>
    <w:uiPriority w:val="39"/>
    <w:rsid w:val="0070356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703566"/>
    <w:pPr>
      <w:spacing w:after="0" w:line="240" w:lineRule="auto"/>
    </w:pPr>
    <w:rPr>
      <w:rFonts w:ascii="Calibri" w:eastAsia="Calibri" w:hAnsi="Calibri" w:cs="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chart" Target="charts/chart5.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5" Type="http://schemas.openxmlformats.org/officeDocument/2006/relationships/image" Target="media/image1.jpeg"/><Relationship Id="rId15" Type="http://schemas.openxmlformats.org/officeDocument/2006/relationships/chart" Target="charts/chart7.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60-4971-A5C1-0133B133E68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60-4971-A5C1-0133B133E68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60-4971-A5C1-0133B133E68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60-4971-A5C1-0133B133E68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Sheet1!$G$1:$G$4</c:f>
              <c:strCache>
                <c:ptCount val="4"/>
                <c:pt idx="0">
                  <c:v>55-64</c:v>
                </c:pt>
                <c:pt idx="1">
                  <c:v>65-74</c:v>
                </c:pt>
                <c:pt idx="2">
                  <c:v>75-85</c:v>
                </c:pt>
                <c:pt idx="3">
                  <c:v>above 85</c:v>
                </c:pt>
              </c:strCache>
            </c:strRef>
          </c:cat>
          <c:val>
            <c:numRef>
              <c:f>Sheet1!$H$1:$H$4</c:f>
              <c:numCache>
                <c:formatCode>0.00%</c:formatCode>
                <c:ptCount val="4"/>
                <c:pt idx="0" formatCode="0%">
                  <c:v>0.4</c:v>
                </c:pt>
                <c:pt idx="1">
                  <c:v>0.38600000000000001</c:v>
                </c:pt>
                <c:pt idx="2">
                  <c:v>0.17100000000000001</c:v>
                </c:pt>
                <c:pt idx="3">
                  <c:v>4.2999999999999997E-2</c:v>
                </c:pt>
              </c:numCache>
            </c:numRef>
          </c:val>
          <c:extLst>
            <c:ext xmlns:c16="http://schemas.microsoft.com/office/drawing/2014/chart" uri="{C3380CC4-5D6E-409C-BE32-E72D297353CC}">
              <c16:uniqueId val="{00000008-3B60-4971-A5C1-0133B133E6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number of smples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7C3-434A-A571-86E4CCE1CB0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7C3-434A-A571-86E4CCE1CB0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7C3-434A-A571-86E4CCE1CB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drug</c:v>
                </c:pt>
                <c:pt idx="1">
                  <c:v>rest</c:v>
                </c:pt>
                <c:pt idx="2">
                  <c:v>Iv</c:v>
                </c:pt>
              </c:strCache>
            </c:strRef>
          </c:cat>
          <c:val>
            <c:numRef>
              <c:f>Sheet1!$B$2:$B$4</c:f>
              <c:numCache>
                <c:formatCode>General</c:formatCode>
                <c:ptCount val="3"/>
                <c:pt idx="0">
                  <c:v>46</c:v>
                </c:pt>
                <c:pt idx="1">
                  <c:v>69</c:v>
                </c:pt>
                <c:pt idx="2">
                  <c:v>28</c:v>
                </c:pt>
              </c:numCache>
            </c:numRef>
          </c:val>
          <c:extLst>
            <c:ext xmlns:c16="http://schemas.microsoft.com/office/drawing/2014/chart" uri="{C3380CC4-5D6E-409C-BE32-E72D297353CC}">
              <c16:uniqueId val="{00000006-07C3-434A-A571-86E4CCE1CB08}"/>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FREQUENCY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&lt; 3</c:v>
                </c:pt>
                <c:pt idx="1">
                  <c:v>4  to 5</c:v>
                </c:pt>
                <c:pt idx="2">
                  <c:v>6 to 8</c:v>
                </c:pt>
              </c:strCache>
            </c:strRef>
          </c:cat>
          <c:val>
            <c:numRef>
              <c:f>Sheet1!$B$2:$B$4</c:f>
              <c:numCache>
                <c:formatCode>0%</c:formatCode>
                <c:ptCount val="3"/>
                <c:pt idx="0">
                  <c:v>0.24</c:v>
                </c:pt>
                <c:pt idx="1">
                  <c:v>0.53</c:v>
                </c:pt>
                <c:pt idx="2">
                  <c:v>0.23</c:v>
                </c:pt>
              </c:numCache>
            </c:numRef>
          </c:val>
          <c:extLst>
            <c:ext xmlns:c16="http://schemas.microsoft.com/office/drawing/2014/chart" uri="{C3380CC4-5D6E-409C-BE32-E72D297353CC}">
              <c16:uniqueId val="{00000000-0231-455C-8B08-61D0336392A8}"/>
            </c:ext>
          </c:extLst>
        </c:ser>
        <c:dLbls>
          <c:dLblPos val="inEnd"/>
          <c:showLegendKey val="0"/>
          <c:showVal val="1"/>
          <c:showCatName val="0"/>
          <c:showSerName val="0"/>
          <c:showPercent val="0"/>
          <c:showBubbleSize val="0"/>
        </c:dLbls>
        <c:gapWidth val="65"/>
        <c:axId val="258347567"/>
        <c:axId val="258347151"/>
      </c:barChart>
      <c:catAx>
        <c:axId val="25834756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FAMILY SIZE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58347151"/>
        <c:crosses val="autoZero"/>
        <c:auto val="1"/>
        <c:lblAlgn val="ctr"/>
        <c:lblOffset val="100"/>
        <c:noMultiLvlLbl val="0"/>
      </c:catAx>
      <c:valAx>
        <c:axId val="25834715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crossAx val="258347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percentage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married</c:v>
                </c:pt>
                <c:pt idx="1">
                  <c:v>widow /widower</c:v>
                </c:pt>
                <c:pt idx="2">
                  <c:v>single </c:v>
                </c:pt>
              </c:strCache>
            </c:strRef>
          </c:cat>
          <c:val>
            <c:numRef>
              <c:f>Sheet1!$B$2:$B$4</c:f>
              <c:numCache>
                <c:formatCode>0%</c:formatCode>
                <c:ptCount val="3"/>
                <c:pt idx="0">
                  <c:v>0.68</c:v>
                </c:pt>
                <c:pt idx="1">
                  <c:v>0.31</c:v>
                </c:pt>
                <c:pt idx="2">
                  <c:v>0.01</c:v>
                </c:pt>
              </c:numCache>
            </c:numRef>
          </c:val>
          <c:smooth val="0"/>
          <c:extLst>
            <c:ext xmlns:c16="http://schemas.microsoft.com/office/drawing/2014/chart" uri="{C3380CC4-5D6E-409C-BE32-E72D297353CC}">
              <c16:uniqueId val="{00000000-F5F9-4B8A-95BC-0016DE2D9D05}"/>
            </c:ext>
          </c:extLst>
        </c:ser>
        <c:dLbls>
          <c:dLblPos val="ctr"/>
          <c:showLegendKey val="0"/>
          <c:showVal val="1"/>
          <c:showCatName val="0"/>
          <c:showSerName val="0"/>
          <c:showPercent val="0"/>
          <c:showBubbleSize val="0"/>
        </c:dLbls>
        <c:upDownBars>
          <c:gapWidth val="150"/>
          <c:upBars>
            <c:spPr>
              <a:solidFill>
                <a:schemeClr val="lt1"/>
              </a:solidFill>
              <a:ln w="9525">
                <a:solidFill>
                  <a:schemeClr val="dk1">
                    <a:lumMod val="65000"/>
                    <a:lumOff val="35000"/>
                  </a:schemeClr>
                </a:solidFill>
              </a:ln>
              <a:effectLst/>
            </c:spPr>
          </c:upBars>
          <c:downBars>
            <c:spPr>
              <a:solidFill>
                <a:schemeClr val="dk1">
                  <a:lumMod val="50000"/>
                  <a:lumOff val="50000"/>
                </a:schemeClr>
              </a:solidFill>
              <a:ln w="9525">
                <a:solidFill>
                  <a:schemeClr val="dk1">
                    <a:lumMod val="65000"/>
                    <a:lumOff val="35000"/>
                  </a:schemeClr>
                </a:solidFill>
              </a:ln>
              <a:effectLst/>
            </c:spPr>
          </c:downBars>
        </c:upDownBars>
        <c:marker val="1"/>
        <c:smooth val="0"/>
        <c:axId val="1555828560"/>
        <c:axId val="1555817744"/>
      </c:lineChart>
      <c:catAx>
        <c:axId val="15558285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MARITAL STATUS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5817744"/>
        <c:crosses val="autoZero"/>
        <c:auto val="1"/>
        <c:lblAlgn val="ctr"/>
        <c:lblOffset val="100"/>
        <c:noMultiLvlLbl val="0"/>
      </c:catAx>
      <c:valAx>
        <c:axId val="15558177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IN"/>
                  <a:t>FREQUENCY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5582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Sheet1!$F$3</c:f>
              <c:strCache>
                <c:ptCount val="1"/>
                <c:pt idx="0">
                  <c:v>female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Sheet1!$E$4:$E$8</c:f>
              <c:strCache>
                <c:ptCount val="5"/>
                <c:pt idx="0">
                  <c:v>daily labour</c:v>
                </c:pt>
                <c:pt idx="1">
                  <c:v>fishing</c:v>
                </c:pt>
                <c:pt idx="2">
                  <c:v>merchant</c:v>
                </c:pt>
                <c:pt idx="3">
                  <c:v>others</c:v>
                </c:pt>
                <c:pt idx="4">
                  <c:v>No</c:v>
                </c:pt>
              </c:strCache>
            </c:strRef>
          </c:cat>
          <c:val>
            <c:numRef>
              <c:f>Sheet1!$F$4:$F$8</c:f>
              <c:numCache>
                <c:formatCode>General</c:formatCode>
                <c:ptCount val="5"/>
                <c:pt idx="0" formatCode="0.00%">
                  <c:v>0.28510000000000002</c:v>
                </c:pt>
                <c:pt idx="1">
                  <c:v>0</c:v>
                </c:pt>
                <c:pt idx="2">
                  <c:v>0</c:v>
                </c:pt>
                <c:pt idx="3" formatCode="0.00%">
                  <c:v>2.8500000000000001E-2</c:v>
                </c:pt>
                <c:pt idx="4" formatCode="0.00%">
                  <c:v>0.68569999999999998</c:v>
                </c:pt>
              </c:numCache>
            </c:numRef>
          </c:val>
          <c:extLst>
            <c:ext xmlns:c16="http://schemas.microsoft.com/office/drawing/2014/chart" uri="{C3380CC4-5D6E-409C-BE32-E72D297353CC}">
              <c16:uniqueId val="{00000000-5432-44AB-ABE0-B24A84CE7573}"/>
            </c:ext>
          </c:extLst>
        </c:ser>
        <c:ser>
          <c:idx val="1"/>
          <c:order val="1"/>
          <c:tx>
            <c:strRef>
              <c:f>Sheet1!$G$3</c:f>
              <c:strCache>
                <c:ptCount val="1"/>
                <c:pt idx="0">
                  <c:v>male </c:v>
                </c:pt>
              </c:strCache>
            </c:strRef>
          </c:tx>
          <c:spPr>
            <a:solidFill>
              <a:schemeClr val="accent2"/>
            </a:solidFill>
            <a:ln>
              <a:noFill/>
            </a:ln>
            <a:effectLst/>
          </c:spPr>
          <c:invertIfNegative val="0"/>
          <c:dLbls>
            <c:dLbl>
              <c:idx val="4"/>
              <c:tx>
                <c:rich>
                  <a:bodyPr/>
                  <a:lstStyle/>
                  <a:p>
                    <a:r>
                      <a:rPr lang="en-US"/>
                      <a:t>28%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2-44AB-ABE0-B24A84CE75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Sheet1!$E$4:$E$8</c:f>
              <c:strCache>
                <c:ptCount val="5"/>
                <c:pt idx="0">
                  <c:v>daily labour</c:v>
                </c:pt>
                <c:pt idx="1">
                  <c:v>fishing</c:v>
                </c:pt>
                <c:pt idx="2">
                  <c:v>merchant</c:v>
                </c:pt>
                <c:pt idx="3">
                  <c:v>others</c:v>
                </c:pt>
                <c:pt idx="4">
                  <c:v>No</c:v>
                </c:pt>
              </c:strCache>
            </c:strRef>
          </c:cat>
          <c:val>
            <c:numRef>
              <c:f>Sheet1!$G$4:$G$8</c:f>
              <c:numCache>
                <c:formatCode>0.00%</c:formatCode>
                <c:ptCount val="5"/>
                <c:pt idx="0" formatCode="General">
                  <c:v>0</c:v>
                </c:pt>
                <c:pt idx="1">
                  <c:v>0.65710000000000002</c:v>
                </c:pt>
                <c:pt idx="2">
                  <c:v>5.7000000000000002E-2</c:v>
                </c:pt>
                <c:pt idx="3" formatCode="General">
                  <c:v>0</c:v>
                </c:pt>
                <c:pt idx="4">
                  <c:v>0.28499999999999998</c:v>
                </c:pt>
              </c:numCache>
            </c:numRef>
          </c:val>
          <c:extLst>
            <c:ext xmlns:c16="http://schemas.microsoft.com/office/drawing/2014/chart" uri="{C3380CC4-5D6E-409C-BE32-E72D297353CC}">
              <c16:uniqueId val="{00000002-5432-44AB-ABE0-B24A84CE7573}"/>
            </c:ext>
          </c:extLst>
        </c:ser>
        <c:dLbls>
          <c:dLblPos val="inEnd"/>
          <c:showLegendKey val="0"/>
          <c:showVal val="1"/>
          <c:showCatName val="0"/>
          <c:showSerName val="0"/>
          <c:showPercent val="0"/>
          <c:showBubbleSize val="0"/>
        </c:dLbls>
        <c:gapWidth val="247"/>
        <c:overlap val="-20"/>
        <c:axId val="1553350128"/>
        <c:axId val="1553333904"/>
      </c:barChart>
      <c:catAx>
        <c:axId val="15533501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a:t>OCCUPATION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553333904"/>
        <c:crosses val="autoZero"/>
        <c:auto val="1"/>
        <c:lblAlgn val="ctr"/>
        <c:lblOffset val="100"/>
        <c:noMultiLvlLbl val="0"/>
      </c:catAx>
      <c:valAx>
        <c:axId val="15533339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IN"/>
                  <a:t>NUMBER OF RESPONDENTS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5335012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dLbl>
              <c:idx val="1"/>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1DA-4670-8AA4-71AEDAD43992}"/>
                </c:ext>
              </c:extLst>
            </c:dLbl>
            <c:dLbl>
              <c:idx val="2"/>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1DA-4670-8AA4-71AEDAD439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Sheet1!$A$1:$A$3</c:f>
              <c:strCache>
                <c:ptCount val="3"/>
                <c:pt idx="0">
                  <c:v>low </c:v>
                </c:pt>
                <c:pt idx="1">
                  <c:v>middle </c:v>
                </c:pt>
                <c:pt idx="2">
                  <c:v>high</c:v>
                </c:pt>
              </c:strCache>
            </c:strRef>
          </c:cat>
          <c:val>
            <c:numRef>
              <c:f>Sheet1!$B$1:$B$3</c:f>
              <c:numCache>
                <c:formatCode>0.00%</c:formatCode>
                <c:ptCount val="3"/>
                <c:pt idx="0" formatCode="0%">
                  <c:v>0.8</c:v>
                </c:pt>
                <c:pt idx="1">
                  <c:v>7.0999999999999994E-2</c:v>
                </c:pt>
                <c:pt idx="2">
                  <c:v>0.129</c:v>
                </c:pt>
              </c:numCache>
            </c:numRef>
          </c:val>
          <c:extLst>
            <c:ext xmlns:c16="http://schemas.microsoft.com/office/drawing/2014/chart" uri="{C3380CC4-5D6E-409C-BE32-E72D297353CC}">
              <c16:uniqueId val="{00000002-E1DA-4670-8AA4-71AEDAD43992}"/>
            </c:ext>
          </c:extLst>
        </c:ser>
        <c:dLbls>
          <c:dLblPos val="inEnd"/>
          <c:showLegendKey val="0"/>
          <c:showVal val="1"/>
          <c:showCatName val="0"/>
          <c:showSerName val="0"/>
          <c:showPercent val="0"/>
          <c:showBubbleSize val="0"/>
        </c:dLbls>
        <c:gapWidth val="80"/>
        <c:overlap val="25"/>
        <c:axId val="1152435007"/>
        <c:axId val="1151014655"/>
      </c:barChart>
      <c:catAx>
        <c:axId val="1152435007"/>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ANNUAL INCOME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151014655"/>
        <c:crosses val="autoZero"/>
        <c:auto val="1"/>
        <c:lblAlgn val="ctr"/>
        <c:lblOffset val="100"/>
        <c:noMultiLvlLbl val="0"/>
      </c:catAx>
      <c:valAx>
        <c:axId val="1151014655"/>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15243500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Sheet1!$I$1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8A3-46CF-B068-722BD05506E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A3-46CF-B068-722BD05506E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8A3-46CF-B068-722BD05506E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Sheet1!$H$2:$H$4</c:f>
              <c:strCache>
                <c:ptCount val="3"/>
                <c:pt idx="0">
                  <c:v>close contact with infected person</c:v>
                </c:pt>
                <c:pt idx="1">
                  <c:v>work place </c:v>
                </c:pt>
                <c:pt idx="2">
                  <c:v>travel</c:v>
                </c:pt>
              </c:strCache>
            </c:strRef>
          </c:cat>
          <c:val>
            <c:numRef>
              <c:f>Sheet1!$I$2:$I$4</c:f>
              <c:numCache>
                <c:formatCode>0.00%</c:formatCode>
                <c:ptCount val="3"/>
                <c:pt idx="0">
                  <c:v>0.61399999999999999</c:v>
                </c:pt>
                <c:pt idx="1">
                  <c:v>0.27100000000000002</c:v>
                </c:pt>
                <c:pt idx="2">
                  <c:v>0.114</c:v>
                </c:pt>
              </c:numCache>
            </c:numRef>
          </c:val>
          <c:extLst>
            <c:ext xmlns:c16="http://schemas.microsoft.com/office/drawing/2014/chart" uri="{C3380CC4-5D6E-409C-BE32-E72D297353CC}">
              <c16:uniqueId val="{00000006-58A3-46CF-B068-722BD05506E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female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Sheet1!$A$2:$A$10</c:f>
              <c:strCache>
                <c:ptCount val="9"/>
                <c:pt idx="0">
                  <c:v>palpitation</c:v>
                </c:pt>
                <c:pt idx="1">
                  <c:v>pain in joint and muscle</c:v>
                </c:pt>
                <c:pt idx="2">
                  <c:v>memory loss</c:v>
                </c:pt>
                <c:pt idx="3">
                  <c:v>loss of smell or taste</c:v>
                </c:pt>
                <c:pt idx="4">
                  <c:v>shortness of breath </c:v>
                </c:pt>
                <c:pt idx="5">
                  <c:v>fatigue </c:v>
                </c:pt>
                <c:pt idx="6">
                  <c:v>sleep disturbance</c:v>
                </c:pt>
                <c:pt idx="7">
                  <c:v>fatigue </c:v>
                </c:pt>
                <c:pt idx="8">
                  <c:v>no difficulties</c:v>
                </c:pt>
              </c:strCache>
            </c:strRef>
          </c:cat>
          <c:val>
            <c:numRef>
              <c:f>Sheet1!$B$2:$B$10</c:f>
              <c:numCache>
                <c:formatCode>General</c:formatCode>
                <c:ptCount val="9"/>
                <c:pt idx="0">
                  <c:v>35</c:v>
                </c:pt>
                <c:pt idx="1">
                  <c:v>19</c:v>
                </c:pt>
                <c:pt idx="2">
                  <c:v>2</c:v>
                </c:pt>
                <c:pt idx="3">
                  <c:v>8</c:v>
                </c:pt>
                <c:pt idx="4">
                  <c:v>4</c:v>
                </c:pt>
                <c:pt idx="5">
                  <c:v>27</c:v>
                </c:pt>
                <c:pt idx="6">
                  <c:v>4</c:v>
                </c:pt>
                <c:pt idx="7">
                  <c:v>28</c:v>
                </c:pt>
                <c:pt idx="8">
                  <c:v>0</c:v>
                </c:pt>
              </c:numCache>
            </c:numRef>
          </c:val>
          <c:extLst>
            <c:ext xmlns:c16="http://schemas.microsoft.com/office/drawing/2014/chart" uri="{C3380CC4-5D6E-409C-BE32-E72D297353CC}">
              <c16:uniqueId val="{00000000-628C-475A-A069-90B2BB48918B}"/>
            </c:ext>
          </c:extLst>
        </c:ser>
        <c:ser>
          <c:idx val="1"/>
          <c:order val="1"/>
          <c:tx>
            <c:strRef>
              <c:f>Sheet1!$C$1</c:f>
              <c:strCache>
                <c:ptCount val="1"/>
                <c:pt idx="0">
                  <c:v>male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Sheet1!$A$2:$A$10</c:f>
              <c:strCache>
                <c:ptCount val="9"/>
                <c:pt idx="0">
                  <c:v>palpitation</c:v>
                </c:pt>
                <c:pt idx="1">
                  <c:v>pain in joint and muscle</c:v>
                </c:pt>
                <c:pt idx="2">
                  <c:v>memory loss</c:v>
                </c:pt>
                <c:pt idx="3">
                  <c:v>loss of smell or taste</c:v>
                </c:pt>
                <c:pt idx="4">
                  <c:v>shortness of breath </c:v>
                </c:pt>
                <c:pt idx="5">
                  <c:v>fatigue </c:v>
                </c:pt>
                <c:pt idx="6">
                  <c:v>sleep disturbance</c:v>
                </c:pt>
                <c:pt idx="7">
                  <c:v>fatigue </c:v>
                </c:pt>
                <c:pt idx="8">
                  <c:v>no difficulties</c:v>
                </c:pt>
              </c:strCache>
            </c:strRef>
          </c:cat>
          <c:val>
            <c:numRef>
              <c:f>Sheet1!$C$2:$C$10</c:f>
              <c:numCache>
                <c:formatCode>General</c:formatCode>
                <c:ptCount val="9"/>
                <c:pt idx="0">
                  <c:v>16</c:v>
                </c:pt>
                <c:pt idx="1">
                  <c:v>13</c:v>
                </c:pt>
                <c:pt idx="2">
                  <c:v>1</c:v>
                </c:pt>
                <c:pt idx="3">
                  <c:v>2</c:v>
                </c:pt>
                <c:pt idx="4">
                  <c:v>3</c:v>
                </c:pt>
                <c:pt idx="5">
                  <c:v>16</c:v>
                </c:pt>
                <c:pt idx="6">
                  <c:v>2</c:v>
                </c:pt>
                <c:pt idx="7">
                  <c:v>17</c:v>
                </c:pt>
                <c:pt idx="8">
                  <c:v>4</c:v>
                </c:pt>
              </c:numCache>
            </c:numRef>
          </c:val>
          <c:extLst>
            <c:ext xmlns:c16="http://schemas.microsoft.com/office/drawing/2014/chart" uri="{C3380CC4-5D6E-409C-BE32-E72D297353CC}">
              <c16:uniqueId val="{00000001-628C-475A-A069-90B2BB48918B}"/>
            </c:ext>
          </c:extLst>
        </c:ser>
        <c:dLbls>
          <c:showLegendKey val="0"/>
          <c:showVal val="0"/>
          <c:showCatName val="0"/>
          <c:showSerName val="0"/>
          <c:showPercent val="0"/>
          <c:showBubbleSize val="0"/>
        </c:dLbls>
        <c:gapWidth val="150"/>
        <c:shape val="box"/>
        <c:axId val="1939745040"/>
        <c:axId val="1939748784"/>
        <c:axId val="925454943"/>
      </c:bar3DChart>
      <c:catAx>
        <c:axId val="193974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39748784"/>
        <c:crosses val="autoZero"/>
        <c:auto val="1"/>
        <c:lblAlgn val="ctr"/>
        <c:lblOffset val="100"/>
        <c:noMultiLvlLbl val="0"/>
      </c:catAx>
      <c:valAx>
        <c:axId val="19397487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939745040"/>
        <c:crosses val="autoZero"/>
        <c:crossBetween val="between"/>
      </c:valAx>
      <c:serAx>
        <c:axId val="925454943"/>
        <c:scaling>
          <c:orientation val="minMax"/>
        </c:scaling>
        <c:delete val="1"/>
        <c:axPos val="b"/>
        <c:majorTickMark val="none"/>
        <c:minorTickMark val="none"/>
        <c:tickLblPos val="nextTo"/>
        <c:crossAx val="1939748784"/>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female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stdErr"/>
            <c:noEndCap val="0"/>
            <c:spPr>
              <a:noFill/>
              <a:ln w="9525" cap="flat" cmpd="sng" algn="ctr">
                <a:solidFill>
                  <a:schemeClr val="lt1">
                    <a:lumMod val="95000"/>
                  </a:schemeClr>
                </a:solidFill>
                <a:round/>
              </a:ln>
              <a:effectLst/>
            </c:spPr>
          </c:errBars>
          <c:cat>
            <c:strRef>
              <c:f>Sheet1!$A$2:$A$4</c:f>
              <c:strCache>
                <c:ptCount val="3"/>
                <c:pt idx="0">
                  <c:v>few days</c:v>
                </c:pt>
                <c:pt idx="1">
                  <c:v>one week</c:v>
                </c:pt>
                <c:pt idx="2">
                  <c:v>up to one month</c:v>
                </c:pt>
              </c:strCache>
            </c:strRef>
          </c:cat>
          <c:val>
            <c:numRef>
              <c:f>Sheet1!$B$2:$B$4</c:f>
              <c:numCache>
                <c:formatCode>General</c:formatCode>
                <c:ptCount val="3"/>
                <c:pt idx="0">
                  <c:v>2</c:v>
                </c:pt>
                <c:pt idx="1">
                  <c:v>16</c:v>
                </c:pt>
                <c:pt idx="2">
                  <c:v>17</c:v>
                </c:pt>
              </c:numCache>
            </c:numRef>
          </c:val>
          <c:extLst>
            <c:ext xmlns:c16="http://schemas.microsoft.com/office/drawing/2014/chart" uri="{C3380CC4-5D6E-409C-BE32-E72D297353CC}">
              <c16:uniqueId val="{00000000-168D-401F-8E9E-5C732E3C880B}"/>
            </c:ext>
          </c:extLst>
        </c:ser>
        <c:ser>
          <c:idx val="1"/>
          <c:order val="1"/>
          <c:tx>
            <c:strRef>
              <c:f>Sheet1!$C$1</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stdErr"/>
            <c:noEndCap val="0"/>
            <c:spPr>
              <a:noFill/>
              <a:ln w="9525" cap="flat" cmpd="sng" algn="ctr">
                <a:solidFill>
                  <a:schemeClr val="lt1">
                    <a:lumMod val="95000"/>
                  </a:schemeClr>
                </a:solidFill>
                <a:round/>
              </a:ln>
              <a:effectLst/>
            </c:spPr>
          </c:errBars>
          <c:cat>
            <c:strRef>
              <c:f>Sheet1!$A$2:$A$4</c:f>
              <c:strCache>
                <c:ptCount val="3"/>
                <c:pt idx="0">
                  <c:v>few days</c:v>
                </c:pt>
                <c:pt idx="1">
                  <c:v>one week</c:v>
                </c:pt>
                <c:pt idx="2">
                  <c:v>up to one month</c:v>
                </c:pt>
              </c:strCache>
            </c:strRef>
          </c:cat>
          <c:val>
            <c:numRef>
              <c:f>Sheet1!$C$2:$C$4</c:f>
              <c:numCache>
                <c:formatCode>General</c:formatCode>
                <c:ptCount val="3"/>
                <c:pt idx="0">
                  <c:v>13</c:v>
                </c:pt>
                <c:pt idx="1">
                  <c:v>10</c:v>
                </c:pt>
                <c:pt idx="2">
                  <c:v>12</c:v>
                </c:pt>
              </c:numCache>
            </c:numRef>
          </c:val>
          <c:extLst>
            <c:ext xmlns:c16="http://schemas.microsoft.com/office/drawing/2014/chart" uri="{C3380CC4-5D6E-409C-BE32-E72D297353CC}">
              <c16:uniqueId val="{00000001-168D-401F-8E9E-5C732E3C880B}"/>
            </c:ext>
          </c:extLst>
        </c:ser>
        <c:dLbls>
          <c:dLblPos val="inEnd"/>
          <c:showLegendKey val="0"/>
          <c:showVal val="1"/>
          <c:showCatName val="0"/>
          <c:showSerName val="0"/>
          <c:showPercent val="0"/>
          <c:showBubbleSize val="0"/>
        </c:dLbls>
        <c:gapWidth val="100"/>
        <c:overlap val="-24"/>
        <c:axId val="358359455"/>
        <c:axId val="285963503"/>
      </c:barChart>
      <c:catAx>
        <c:axId val="358359455"/>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recovery period</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85963503"/>
        <c:crosses val="autoZero"/>
        <c:auto val="1"/>
        <c:lblAlgn val="ctr"/>
        <c:lblOffset val="100"/>
        <c:noMultiLvlLbl val="0"/>
      </c:catAx>
      <c:valAx>
        <c:axId val="285963503"/>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number</a:t>
                </a:r>
                <a:r>
                  <a:rPr lang="en-IN" baseline="0"/>
                  <a:t> of respondents </a:t>
                </a:r>
                <a:endParaRPr lang="en-IN"/>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583594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'[Chart in Microsoft Word]Sheet1'!$B$1</c:f>
              <c:strCache>
                <c:ptCount val="1"/>
                <c:pt idx="0">
                  <c:v>%</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E6B-4F1E-A2BC-719784F6464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E6B-4F1E-A2BC-719784F646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'[Chart in Microsoft Word]Sheet1'!$A$2:$A$3</c:f>
              <c:strCache>
                <c:ptCount val="2"/>
                <c:pt idx="0">
                  <c:v>normal</c:v>
                </c:pt>
                <c:pt idx="1">
                  <c:v>abnormal</c:v>
                </c:pt>
              </c:strCache>
            </c:strRef>
          </c:cat>
          <c:val>
            <c:numRef>
              <c:f>'[Chart in Microsoft Word]Sheet1'!$B$2:$B$3</c:f>
              <c:numCache>
                <c:formatCode>0%</c:formatCode>
                <c:ptCount val="2"/>
                <c:pt idx="0">
                  <c:v>0.5</c:v>
                </c:pt>
                <c:pt idx="1">
                  <c:v>0.5</c:v>
                </c:pt>
              </c:numCache>
            </c:numRef>
          </c:val>
          <c:extLst>
            <c:ext xmlns:c16="http://schemas.microsoft.com/office/drawing/2014/chart" uri="{C3380CC4-5D6E-409C-BE32-E72D297353CC}">
              <c16:uniqueId val="{00000004-AE6B-4F1E-A2BC-719784F6464B}"/>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120</Pages>
  <Words>46483</Words>
  <Characters>264957</Characters>
  <Application>Microsoft Office Word</Application>
  <DocSecurity>0</DocSecurity>
  <Lines>2207</Lines>
  <Paragraphs>621</Paragraphs>
  <ScaleCrop>false</ScaleCrop>
  <Company/>
  <LinksUpToDate>false</LinksUpToDate>
  <CharactersWithSpaces>310819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kripa sabu</dc:creator>
  <cp:keywords/>
  <dc:description/>
  <cp:lastModifiedBy>kripa sabu</cp:lastModifiedBy>
  <cp:revision>1</cp:revision>
  <dcterms:created xsi:type="dcterms:W3CDTF">2021-05-04T12:26:00Z</dcterms:created>
  <dcterms:modified xsi:type="dcterms:W3CDTF">2021-05-04T12:29:00Z</dcterms:modified>
</cp:coreProperties>
</file>